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652B" w14:textId="77777777" w:rsidR="0037742A" w:rsidRPr="006276BB" w:rsidRDefault="00D4419B" w:rsidP="00627C9F">
      <w:pPr>
        <w:jc w:val="both"/>
        <w:rPr>
          <w:rFonts w:asciiTheme="majorHAnsi" w:hAnsiTheme="majorHAnsi" w:cs="Univers"/>
          <w:b/>
          <w:bCs/>
          <w:lang w:val="es-ES_tradnl"/>
        </w:rPr>
      </w:pPr>
      <w:r w:rsidRPr="006276BB">
        <w:rPr>
          <w:rFonts w:asciiTheme="majorHAnsi" w:hAnsiTheme="majorHAnsi"/>
          <w:noProof/>
        </w:rPr>
        <mc:AlternateContent>
          <mc:Choice Requires="wps">
            <w:drawing>
              <wp:anchor distT="0" distB="0" distL="114300" distR="114300" simplePos="0" relativeHeight="251658240" behindDoc="0" locked="0" layoutInCell="1" allowOverlap="1" wp14:anchorId="42E0A600" wp14:editId="2D427B63">
                <wp:simplePos x="0" y="0"/>
                <wp:positionH relativeFrom="column">
                  <wp:posOffset>-413657</wp:posOffset>
                </wp:positionH>
                <wp:positionV relativeFrom="paragraph">
                  <wp:posOffset>-440871</wp:posOffset>
                </wp:positionV>
                <wp:extent cx="1543050" cy="927998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27998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41B88" id="Rectangle 1" o:spid="_x0000_s1026" style="position:absolute;margin-left:-32.55pt;margin-top:-34.7pt;width:121.5pt;height:7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" fillcolor="#4a7194" stroked="f" strokeweight="2pt"/>
            </w:pict>
          </mc:Fallback>
        </mc:AlternateContent>
      </w:r>
      <w:r w:rsidRPr="006276BB">
        <w:rPr>
          <w:rFonts w:asciiTheme="majorHAnsi" w:hAnsiTheme="majorHAnsi"/>
          <w:noProof/>
        </w:rPr>
        <mc:AlternateContent>
          <mc:Choice Requires="wps">
            <w:drawing>
              <wp:anchor distT="0" distB="0" distL="114300" distR="114300" simplePos="0" relativeHeight="251658244" behindDoc="0" locked="0" layoutInCell="1" allowOverlap="1" wp14:anchorId="0BDC0D5A" wp14:editId="13F8F87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E61F" w14:textId="77777777" w:rsidR="00DF4939" w:rsidRDefault="00DF4939" w:rsidP="00AE5488">
                            <w:r>
                              <w:rPr>
                                <w:noProof/>
                              </w:rPr>
                              <w:drawing>
                                <wp:inline distT="0" distB="0" distL="0" distR="0" wp14:anchorId="17F188B5" wp14:editId="2816499E">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DC0D5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1180E61F" w14:textId="77777777" w:rsidR="00DF4939" w:rsidRDefault="00DF4939" w:rsidP="00AE5488">
                      <w:r>
                        <w:rPr>
                          <w:noProof/>
                        </w:rPr>
                        <w:drawing>
                          <wp:inline distT="0" distB="0" distL="0" distR="0" wp14:anchorId="17F188B5" wp14:editId="2816499E">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v:textbox>
              </v:shape>
            </w:pict>
          </mc:Fallback>
        </mc:AlternateContent>
      </w:r>
      <w:r w:rsidR="0037742A" w:rsidRPr="006276BB">
        <w:rPr>
          <w:rFonts w:asciiTheme="majorHAnsi" w:hAnsiTheme="majorHAnsi" w:cs="Univers"/>
          <w:b/>
          <w:bCs/>
          <w:lang w:val="es-ES_tradnl"/>
        </w:rPr>
        <w:t>–</w:t>
      </w:r>
    </w:p>
    <w:p w14:paraId="09C6F81E" w14:textId="77777777" w:rsidR="0037742A" w:rsidRPr="006276BB" w:rsidRDefault="0037742A" w:rsidP="00040C3A">
      <w:pPr>
        <w:tabs>
          <w:tab w:val="center" w:pos="5400"/>
        </w:tabs>
        <w:suppressAutoHyphens/>
        <w:jc w:val="both"/>
        <w:rPr>
          <w:rFonts w:asciiTheme="majorHAnsi" w:hAnsiTheme="majorHAnsi"/>
          <w:lang w:val="es-ES"/>
        </w:rPr>
      </w:pPr>
    </w:p>
    <w:p w14:paraId="3129540B" w14:textId="77777777" w:rsidR="0037742A" w:rsidRPr="006276BB" w:rsidRDefault="0037742A" w:rsidP="00040C3A">
      <w:pPr>
        <w:tabs>
          <w:tab w:val="center" w:pos="5400"/>
        </w:tabs>
        <w:suppressAutoHyphens/>
        <w:jc w:val="both"/>
        <w:rPr>
          <w:rFonts w:asciiTheme="majorHAnsi" w:hAnsiTheme="majorHAnsi"/>
          <w:lang w:val="es-ES"/>
        </w:rPr>
      </w:pPr>
    </w:p>
    <w:p w14:paraId="1989E5DE" w14:textId="77777777" w:rsidR="0037742A" w:rsidRPr="006276BB" w:rsidRDefault="0037742A" w:rsidP="00040C3A">
      <w:pPr>
        <w:tabs>
          <w:tab w:val="center" w:pos="5400"/>
        </w:tabs>
        <w:suppressAutoHyphens/>
        <w:rPr>
          <w:rFonts w:asciiTheme="majorHAnsi" w:hAnsiTheme="majorHAnsi"/>
          <w:lang w:val="es-ES_tradnl"/>
        </w:rPr>
      </w:pPr>
    </w:p>
    <w:p w14:paraId="5A442E25" w14:textId="77777777" w:rsidR="0037742A" w:rsidRPr="006276BB" w:rsidRDefault="0037742A" w:rsidP="00040C3A">
      <w:pPr>
        <w:tabs>
          <w:tab w:val="center" w:pos="5400"/>
        </w:tabs>
        <w:suppressAutoHyphens/>
        <w:rPr>
          <w:rFonts w:asciiTheme="majorHAnsi" w:hAnsiTheme="majorHAnsi"/>
          <w:lang w:val="es-ES_tradnl"/>
        </w:rPr>
      </w:pPr>
    </w:p>
    <w:p w14:paraId="33032DAD" w14:textId="77777777" w:rsidR="0037742A" w:rsidRPr="006276BB" w:rsidRDefault="0037742A" w:rsidP="005128E4">
      <w:pPr>
        <w:tabs>
          <w:tab w:val="center" w:pos="5400"/>
        </w:tabs>
        <w:suppressAutoHyphens/>
        <w:jc w:val="center"/>
        <w:rPr>
          <w:rFonts w:asciiTheme="majorHAnsi" w:hAnsiTheme="majorHAnsi"/>
          <w:lang w:val="es-ES_tradnl"/>
        </w:rPr>
      </w:pPr>
    </w:p>
    <w:p w14:paraId="1BFC06D0" w14:textId="77777777" w:rsidR="0037742A" w:rsidRPr="006276BB" w:rsidRDefault="0037742A" w:rsidP="005128E4">
      <w:pPr>
        <w:tabs>
          <w:tab w:val="center" w:pos="5400"/>
        </w:tabs>
        <w:suppressAutoHyphens/>
        <w:jc w:val="center"/>
        <w:rPr>
          <w:rFonts w:asciiTheme="majorHAnsi" w:hAnsiTheme="majorHAnsi"/>
          <w:lang w:val="es-ES_tradnl"/>
        </w:rPr>
      </w:pPr>
    </w:p>
    <w:p w14:paraId="2E9E1F8C" w14:textId="77777777" w:rsidR="0037742A" w:rsidRPr="006276BB" w:rsidRDefault="0037742A" w:rsidP="005128E4">
      <w:pPr>
        <w:tabs>
          <w:tab w:val="center" w:pos="5400"/>
        </w:tabs>
        <w:suppressAutoHyphens/>
        <w:jc w:val="center"/>
        <w:rPr>
          <w:rFonts w:asciiTheme="majorHAnsi" w:hAnsiTheme="majorHAnsi"/>
          <w:lang w:val="es-ES_tradnl"/>
        </w:rPr>
      </w:pPr>
    </w:p>
    <w:p w14:paraId="032D0A5D" w14:textId="77777777" w:rsidR="0037742A" w:rsidRPr="006276BB" w:rsidRDefault="0037742A" w:rsidP="005128E4">
      <w:pPr>
        <w:tabs>
          <w:tab w:val="center" w:pos="5400"/>
        </w:tabs>
        <w:suppressAutoHyphens/>
        <w:jc w:val="center"/>
        <w:rPr>
          <w:rFonts w:asciiTheme="majorHAnsi" w:hAnsiTheme="majorHAnsi"/>
          <w:lang w:val="es-ES_tradnl"/>
        </w:rPr>
      </w:pPr>
    </w:p>
    <w:p w14:paraId="71F356B7" w14:textId="77777777" w:rsidR="0037742A" w:rsidRPr="006276BB" w:rsidRDefault="0037742A" w:rsidP="005128E4">
      <w:pPr>
        <w:tabs>
          <w:tab w:val="center" w:pos="5400"/>
        </w:tabs>
        <w:suppressAutoHyphens/>
        <w:jc w:val="center"/>
        <w:rPr>
          <w:rFonts w:asciiTheme="majorHAnsi" w:hAnsiTheme="majorHAnsi"/>
          <w:lang w:val="es-ES_tradnl"/>
        </w:rPr>
      </w:pPr>
    </w:p>
    <w:p w14:paraId="1F52AEE2" w14:textId="77777777" w:rsidR="0037742A" w:rsidRPr="006276BB" w:rsidRDefault="0037742A" w:rsidP="00040C3A">
      <w:pPr>
        <w:tabs>
          <w:tab w:val="center" w:pos="5400"/>
        </w:tabs>
        <w:suppressAutoHyphens/>
        <w:jc w:val="center"/>
        <w:rPr>
          <w:rFonts w:asciiTheme="majorHAnsi" w:hAnsiTheme="majorHAnsi"/>
          <w:lang w:val="es-ES_tradnl"/>
        </w:rPr>
      </w:pPr>
    </w:p>
    <w:p w14:paraId="72915B7B" w14:textId="2D200BEB" w:rsidR="0037742A" w:rsidRPr="006276BB" w:rsidRDefault="00D4419B" w:rsidP="00040C3A">
      <w:pPr>
        <w:tabs>
          <w:tab w:val="center" w:pos="5400"/>
        </w:tabs>
        <w:suppressAutoHyphens/>
        <w:jc w:val="center"/>
        <w:rPr>
          <w:rFonts w:asciiTheme="majorHAnsi" w:hAnsiTheme="majorHAnsi"/>
          <w:lang w:val="es-ES_tradnl"/>
        </w:rPr>
      </w:pPr>
      <w:r w:rsidRPr="006276BB">
        <w:rPr>
          <w:rFonts w:asciiTheme="majorHAnsi" w:hAnsiTheme="majorHAnsi"/>
          <w:noProof/>
        </w:rPr>
        <mc:AlternateContent>
          <mc:Choice Requires="wps">
            <w:drawing>
              <wp:anchor distT="0" distB="0" distL="114300" distR="114300" simplePos="0" relativeHeight="251658241" behindDoc="0" locked="0" layoutInCell="1" allowOverlap="1" wp14:anchorId="51607446" wp14:editId="7C597E1D">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EB264" w14:textId="19F8D9B3" w:rsidR="00DF4939" w:rsidRPr="00365E52" w:rsidRDefault="00DF4939" w:rsidP="00AB5A28">
                            <w:pPr>
                              <w:spacing w:after="0" w:line="240" w:lineRule="auto"/>
                              <w:rPr>
                                <w:rFonts w:ascii="Cambria" w:hAnsi="Cambria" w:cs="Arial"/>
                                <w:b/>
                                <w:bCs/>
                                <w:color w:val="0D0D0D"/>
                                <w:sz w:val="36"/>
                                <w:lang w:val="es-ES_tradnl"/>
                              </w:rPr>
                            </w:pPr>
                            <w:r w:rsidRPr="00365E52">
                              <w:rPr>
                                <w:rFonts w:ascii="Cambria" w:hAnsi="Cambria" w:cs="Arial"/>
                                <w:b/>
                                <w:bCs/>
                                <w:color w:val="0D0D0D"/>
                                <w:sz w:val="36"/>
                                <w:lang w:val="es-ES_tradnl"/>
                              </w:rPr>
                              <w:t xml:space="preserve">INFORME </w:t>
                            </w:r>
                            <w:r w:rsidRPr="00365E52">
                              <w:rPr>
                                <w:rFonts w:ascii="Cambria" w:hAnsi="Cambria" w:cs="Arial"/>
                                <w:b/>
                                <w:bCs/>
                                <w:color w:val="0D0D0D"/>
                                <w:sz w:val="36"/>
                                <w:szCs w:val="40"/>
                                <w:lang w:val="es-ES_tradnl"/>
                              </w:rPr>
                              <w:t>No.</w:t>
                            </w:r>
                            <w:r>
                              <w:rPr>
                                <w:rFonts w:ascii="Cambria" w:hAnsi="Cambria" w:cs="Arial"/>
                                <w:b/>
                                <w:bCs/>
                                <w:color w:val="0D0D0D"/>
                                <w:sz w:val="36"/>
                                <w:lang w:val="es-ES_tradnl"/>
                              </w:rPr>
                              <w:t xml:space="preserve"> </w:t>
                            </w:r>
                            <w:r w:rsidR="00561893">
                              <w:rPr>
                                <w:rFonts w:ascii="Cambria" w:hAnsi="Cambria" w:cs="Arial"/>
                                <w:b/>
                                <w:bCs/>
                                <w:color w:val="0D0D0D"/>
                                <w:sz w:val="36"/>
                                <w:lang w:val="es-ES_tradnl"/>
                              </w:rPr>
                              <w:t>107</w:t>
                            </w:r>
                            <w:r>
                              <w:rPr>
                                <w:rFonts w:ascii="Cambria" w:hAnsi="Cambria" w:cs="Arial"/>
                                <w:b/>
                                <w:bCs/>
                                <w:color w:val="0D0D0D"/>
                                <w:sz w:val="36"/>
                                <w:lang w:val="es-ES_tradnl"/>
                              </w:rPr>
                              <w:t>/2</w:t>
                            </w:r>
                            <w:r w:rsidR="004A42CE">
                              <w:rPr>
                                <w:rFonts w:ascii="Cambria" w:hAnsi="Cambria" w:cs="Arial"/>
                                <w:b/>
                                <w:bCs/>
                                <w:color w:val="0D0D0D"/>
                                <w:sz w:val="36"/>
                                <w:lang w:val="es-ES_tradnl"/>
                              </w:rPr>
                              <w:t>2</w:t>
                            </w:r>
                          </w:p>
                          <w:p w14:paraId="4E1E6B43" w14:textId="50B70283" w:rsidR="00DF4939" w:rsidRPr="00365E52" w:rsidRDefault="00DF4939" w:rsidP="00AB5A28">
                            <w:pPr>
                              <w:spacing w:after="0" w:line="240" w:lineRule="auto"/>
                              <w:rPr>
                                <w:rFonts w:ascii="Cambria" w:hAnsi="Cambria" w:cs="Arial"/>
                                <w:b/>
                                <w:color w:val="0D0D0D"/>
                                <w:sz w:val="36"/>
                                <w:lang w:val="es-ES_tradnl"/>
                              </w:rPr>
                            </w:pPr>
                            <w:r w:rsidRPr="00365E52">
                              <w:rPr>
                                <w:rFonts w:ascii="Cambria" w:hAnsi="Cambria" w:cs="Arial"/>
                                <w:b/>
                                <w:color w:val="0D0D0D"/>
                                <w:sz w:val="36"/>
                                <w:lang w:val="es-ES_tradnl"/>
                              </w:rPr>
                              <w:t xml:space="preserve">PETICIÓN </w:t>
                            </w:r>
                            <w:r>
                              <w:rPr>
                                <w:rFonts w:ascii="Cambria" w:hAnsi="Cambria" w:cs="Arial"/>
                                <w:b/>
                                <w:color w:val="0D0D0D"/>
                                <w:sz w:val="36"/>
                                <w:lang w:val="es-ES_tradnl"/>
                              </w:rPr>
                              <w:t>375-14</w:t>
                            </w:r>
                          </w:p>
                          <w:p w14:paraId="0005C761" w14:textId="415A6609" w:rsidR="00DF4939" w:rsidRPr="00365E52" w:rsidRDefault="00DF4939" w:rsidP="00AB5A28">
                            <w:pPr>
                              <w:spacing w:after="0" w:line="240" w:lineRule="auto"/>
                              <w:rPr>
                                <w:rFonts w:ascii="Cambria" w:hAnsi="Cambria" w:cs="Arial"/>
                                <w:color w:val="0D0D0D"/>
                                <w:lang w:val="es-ES_tradnl"/>
                              </w:rPr>
                            </w:pPr>
                            <w:r w:rsidRPr="00365E52">
                              <w:rPr>
                                <w:rFonts w:ascii="Cambria" w:hAnsi="Cambria" w:cs="Arial"/>
                                <w:color w:val="0D0D0D"/>
                                <w:lang w:val="es-ES_tradnl"/>
                              </w:rPr>
                              <w:t xml:space="preserve">INFORME DE </w:t>
                            </w:r>
                            <w:r>
                              <w:rPr>
                                <w:rFonts w:ascii="Cambria" w:hAnsi="Cambria" w:cs="Arial"/>
                                <w:color w:val="0D0D0D"/>
                                <w:lang w:val="es-ES_tradnl"/>
                              </w:rPr>
                              <w:t>IN</w:t>
                            </w:r>
                            <w:r w:rsidRPr="0027159B">
                              <w:rPr>
                                <w:rFonts w:ascii="Cambria" w:hAnsi="Cambria" w:cs="Arial"/>
                                <w:color w:val="0D0D0D"/>
                                <w:lang w:val="es-ES_tradnl"/>
                              </w:rPr>
                              <w:t>ADMISIBILIDAD</w:t>
                            </w:r>
                          </w:p>
                          <w:p w14:paraId="46826328" w14:textId="77777777" w:rsidR="00AB5A28" w:rsidRDefault="00AB5A28" w:rsidP="00AB5A28">
                            <w:pPr>
                              <w:spacing w:after="0" w:line="240" w:lineRule="auto"/>
                              <w:rPr>
                                <w:rFonts w:ascii="Cambria" w:hAnsi="Cambria" w:cs="Arial"/>
                                <w:lang w:eastAsia="es-ES"/>
                              </w:rPr>
                            </w:pPr>
                          </w:p>
                          <w:p w14:paraId="402CEBDF" w14:textId="6D1129ED" w:rsidR="00DF4939" w:rsidRPr="00365E52" w:rsidRDefault="00DF4939" w:rsidP="00AB5A28">
                            <w:pPr>
                              <w:spacing w:after="0" w:line="240" w:lineRule="auto"/>
                              <w:rPr>
                                <w:rFonts w:ascii="Cambria" w:hAnsi="Cambria" w:cs="Arial"/>
                                <w:color w:val="0D0D0D"/>
                                <w:lang w:val="es-ES_tradnl"/>
                              </w:rPr>
                            </w:pPr>
                            <w:r>
                              <w:rPr>
                                <w:rFonts w:ascii="Cambria" w:hAnsi="Cambria" w:cs="Arial"/>
                                <w:lang w:eastAsia="es-ES"/>
                              </w:rPr>
                              <w:t>MANUEL ENRIQUE LEIVA OLIVA</w:t>
                            </w:r>
                          </w:p>
                          <w:p w14:paraId="166194B8" w14:textId="701430D2" w:rsidR="00DF4939" w:rsidRPr="00365E52" w:rsidRDefault="00DF4939" w:rsidP="00AB5A28">
                            <w:pPr>
                              <w:spacing w:after="0" w:line="240" w:lineRule="auto"/>
                              <w:rPr>
                                <w:rFonts w:ascii="Cambria" w:hAnsi="Cambria" w:cs="Arial"/>
                                <w:color w:val="0D0D0D"/>
                                <w:lang w:val="es-ES"/>
                              </w:rPr>
                            </w:pPr>
                            <w:r>
                              <w:rPr>
                                <w:rFonts w:ascii="Cambria" w:hAnsi="Cambria" w:cs="Arial"/>
                                <w:color w:val="0D0D0D"/>
                                <w:lang w:val="es-ES_tradnl"/>
                              </w:rPr>
                              <w:t>HONDURAS</w:t>
                            </w:r>
                          </w:p>
                          <w:p w14:paraId="38930DFE" w14:textId="77777777" w:rsidR="00DF4939" w:rsidRPr="00365E52" w:rsidRDefault="00DF4939"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607446"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084EB264" w14:textId="19F8D9B3" w:rsidR="00DF4939" w:rsidRPr="00365E52" w:rsidRDefault="00DF4939" w:rsidP="00AB5A28">
                      <w:pPr>
                        <w:spacing w:after="0" w:line="240" w:lineRule="auto"/>
                        <w:rPr>
                          <w:rFonts w:ascii="Cambria" w:hAnsi="Cambria" w:cs="Arial"/>
                          <w:b/>
                          <w:bCs/>
                          <w:color w:val="0D0D0D"/>
                          <w:sz w:val="36"/>
                          <w:lang w:val="es-ES_tradnl"/>
                        </w:rPr>
                      </w:pPr>
                      <w:r w:rsidRPr="00365E52">
                        <w:rPr>
                          <w:rFonts w:ascii="Cambria" w:hAnsi="Cambria" w:cs="Arial"/>
                          <w:b/>
                          <w:bCs/>
                          <w:color w:val="0D0D0D"/>
                          <w:sz w:val="36"/>
                          <w:lang w:val="es-ES_tradnl"/>
                        </w:rPr>
                        <w:t xml:space="preserve">INFORME </w:t>
                      </w:r>
                      <w:r w:rsidRPr="00365E52">
                        <w:rPr>
                          <w:rFonts w:ascii="Cambria" w:hAnsi="Cambria" w:cs="Arial"/>
                          <w:b/>
                          <w:bCs/>
                          <w:color w:val="0D0D0D"/>
                          <w:sz w:val="36"/>
                          <w:szCs w:val="40"/>
                          <w:lang w:val="es-ES_tradnl"/>
                        </w:rPr>
                        <w:t>No.</w:t>
                      </w:r>
                      <w:r>
                        <w:rPr>
                          <w:rFonts w:ascii="Cambria" w:hAnsi="Cambria" w:cs="Arial"/>
                          <w:b/>
                          <w:bCs/>
                          <w:color w:val="0D0D0D"/>
                          <w:sz w:val="36"/>
                          <w:lang w:val="es-ES_tradnl"/>
                        </w:rPr>
                        <w:t xml:space="preserve"> </w:t>
                      </w:r>
                      <w:r w:rsidR="00561893">
                        <w:rPr>
                          <w:rFonts w:ascii="Cambria" w:hAnsi="Cambria" w:cs="Arial"/>
                          <w:b/>
                          <w:bCs/>
                          <w:color w:val="0D0D0D"/>
                          <w:sz w:val="36"/>
                          <w:lang w:val="es-ES_tradnl"/>
                        </w:rPr>
                        <w:t>107</w:t>
                      </w:r>
                      <w:r>
                        <w:rPr>
                          <w:rFonts w:ascii="Cambria" w:hAnsi="Cambria" w:cs="Arial"/>
                          <w:b/>
                          <w:bCs/>
                          <w:color w:val="0D0D0D"/>
                          <w:sz w:val="36"/>
                          <w:lang w:val="es-ES_tradnl"/>
                        </w:rPr>
                        <w:t>/2</w:t>
                      </w:r>
                      <w:r w:rsidR="004A42CE">
                        <w:rPr>
                          <w:rFonts w:ascii="Cambria" w:hAnsi="Cambria" w:cs="Arial"/>
                          <w:b/>
                          <w:bCs/>
                          <w:color w:val="0D0D0D"/>
                          <w:sz w:val="36"/>
                          <w:lang w:val="es-ES_tradnl"/>
                        </w:rPr>
                        <w:t>2</w:t>
                      </w:r>
                    </w:p>
                    <w:p w14:paraId="4E1E6B43" w14:textId="50B70283" w:rsidR="00DF4939" w:rsidRPr="00365E52" w:rsidRDefault="00DF4939" w:rsidP="00AB5A28">
                      <w:pPr>
                        <w:spacing w:after="0" w:line="240" w:lineRule="auto"/>
                        <w:rPr>
                          <w:rFonts w:ascii="Cambria" w:hAnsi="Cambria" w:cs="Arial"/>
                          <w:b/>
                          <w:color w:val="0D0D0D"/>
                          <w:sz w:val="36"/>
                          <w:lang w:val="es-ES_tradnl"/>
                        </w:rPr>
                      </w:pPr>
                      <w:r w:rsidRPr="00365E52">
                        <w:rPr>
                          <w:rFonts w:ascii="Cambria" w:hAnsi="Cambria" w:cs="Arial"/>
                          <w:b/>
                          <w:color w:val="0D0D0D"/>
                          <w:sz w:val="36"/>
                          <w:lang w:val="es-ES_tradnl"/>
                        </w:rPr>
                        <w:t xml:space="preserve">PETICIÓN </w:t>
                      </w:r>
                      <w:r>
                        <w:rPr>
                          <w:rFonts w:ascii="Cambria" w:hAnsi="Cambria" w:cs="Arial"/>
                          <w:b/>
                          <w:color w:val="0D0D0D"/>
                          <w:sz w:val="36"/>
                          <w:lang w:val="es-ES_tradnl"/>
                        </w:rPr>
                        <w:t>375-14</w:t>
                      </w:r>
                    </w:p>
                    <w:p w14:paraId="0005C761" w14:textId="415A6609" w:rsidR="00DF4939" w:rsidRPr="00365E52" w:rsidRDefault="00DF4939" w:rsidP="00AB5A28">
                      <w:pPr>
                        <w:spacing w:after="0" w:line="240" w:lineRule="auto"/>
                        <w:rPr>
                          <w:rFonts w:ascii="Cambria" w:hAnsi="Cambria" w:cs="Arial"/>
                          <w:color w:val="0D0D0D"/>
                          <w:lang w:val="es-ES_tradnl"/>
                        </w:rPr>
                      </w:pPr>
                      <w:r w:rsidRPr="00365E52">
                        <w:rPr>
                          <w:rFonts w:ascii="Cambria" w:hAnsi="Cambria" w:cs="Arial"/>
                          <w:color w:val="0D0D0D"/>
                          <w:lang w:val="es-ES_tradnl"/>
                        </w:rPr>
                        <w:t xml:space="preserve">INFORME DE </w:t>
                      </w:r>
                      <w:r>
                        <w:rPr>
                          <w:rFonts w:ascii="Cambria" w:hAnsi="Cambria" w:cs="Arial"/>
                          <w:color w:val="0D0D0D"/>
                          <w:lang w:val="es-ES_tradnl"/>
                        </w:rPr>
                        <w:t>IN</w:t>
                      </w:r>
                      <w:r w:rsidRPr="0027159B">
                        <w:rPr>
                          <w:rFonts w:ascii="Cambria" w:hAnsi="Cambria" w:cs="Arial"/>
                          <w:color w:val="0D0D0D"/>
                          <w:lang w:val="es-ES_tradnl"/>
                        </w:rPr>
                        <w:t>ADMISIBILIDAD</w:t>
                      </w:r>
                    </w:p>
                    <w:p w14:paraId="46826328" w14:textId="77777777" w:rsidR="00AB5A28" w:rsidRDefault="00AB5A28" w:rsidP="00AB5A28">
                      <w:pPr>
                        <w:spacing w:after="0" w:line="240" w:lineRule="auto"/>
                        <w:rPr>
                          <w:rFonts w:ascii="Cambria" w:hAnsi="Cambria" w:cs="Arial"/>
                          <w:lang w:eastAsia="es-ES"/>
                        </w:rPr>
                      </w:pPr>
                    </w:p>
                    <w:p w14:paraId="402CEBDF" w14:textId="6D1129ED" w:rsidR="00DF4939" w:rsidRPr="00365E52" w:rsidRDefault="00DF4939" w:rsidP="00AB5A28">
                      <w:pPr>
                        <w:spacing w:after="0" w:line="240" w:lineRule="auto"/>
                        <w:rPr>
                          <w:rFonts w:ascii="Cambria" w:hAnsi="Cambria" w:cs="Arial"/>
                          <w:color w:val="0D0D0D"/>
                          <w:lang w:val="es-ES_tradnl"/>
                        </w:rPr>
                      </w:pPr>
                      <w:r>
                        <w:rPr>
                          <w:rFonts w:ascii="Cambria" w:hAnsi="Cambria" w:cs="Arial"/>
                          <w:lang w:eastAsia="es-ES"/>
                        </w:rPr>
                        <w:t>MANUEL ENRIQUE LEIVA OLIVA</w:t>
                      </w:r>
                    </w:p>
                    <w:p w14:paraId="166194B8" w14:textId="701430D2" w:rsidR="00DF4939" w:rsidRPr="00365E52" w:rsidRDefault="00DF4939" w:rsidP="00AB5A28">
                      <w:pPr>
                        <w:spacing w:after="0" w:line="240" w:lineRule="auto"/>
                        <w:rPr>
                          <w:rFonts w:ascii="Cambria" w:hAnsi="Cambria" w:cs="Arial"/>
                          <w:color w:val="0D0D0D"/>
                          <w:lang w:val="es-ES"/>
                        </w:rPr>
                      </w:pPr>
                      <w:r>
                        <w:rPr>
                          <w:rFonts w:ascii="Cambria" w:hAnsi="Cambria" w:cs="Arial"/>
                          <w:color w:val="0D0D0D"/>
                          <w:lang w:val="es-ES_tradnl"/>
                        </w:rPr>
                        <w:t>HONDURAS</w:t>
                      </w:r>
                    </w:p>
                    <w:p w14:paraId="38930DFE" w14:textId="77777777" w:rsidR="00DF4939" w:rsidRPr="00365E52" w:rsidRDefault="00DF4939" w:rsidP="007A5817">
                      <w:pPr>
                        <w:rPr>
                          <w:color w:val="0D0D0D"/>
                          <w:lang w:val="es-ES_tradnl"/>
                        </w:rPr>
                      </w:pPr>
                    </w:p>
                  </w:txbxContent>
                </v:textbox>
              </v:shape>
            </w:pict>
          </mc:Fallback>
        </mc:AlternateContent>
      </w:r>
      <w:r w:rsidRPr="006276BB">
        <w:rPr>
          <w:rFonts w:asciiTheme="majorHAnsi" w:hAnsiTheme="majorHAnsi"/>
          <w:noProof/>
        </w:rPr>
        <mc:AlternateContent>
          <mc:Choice Requires="wps">
            <w:drawing>
              <wp:anchor distT="0" distB="0" distL="114300" distR="114300" simplePos="0" relativeHeight="251658243" behindDoc="0" locked="0" layoutInCell="1" allowOverlap="1" wp14:anchorId="104812D4" wp14:editId="3806FEE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E75E6" w14:textId="5B3C06EC" w:rsidR="00DF4939" w:rsidRPr="000F644A" w:rsidRDefault="00DF4939" w:rsidP="00AB5A28">
                            <w:pPr>
                              <w:spacing w:after="0" w:line="240" w:lineRule="auto"/>
                              <w:jc w:val="right"/>
                              <w:rPr>
                                <w:rFonts w:ascii="Calibri" w:hAnsi="Calibri"/>
                                <w:color w:val="FFFFFF"/>
                                <w:lang w:val="es-419"/>
                              </w:rPr>
                            </w:pPr>
                            <w:r w:rsidRPr="000F644A">
                              <w:rPr>
                                <w:rFonts w:ascii="Calibri" w:hAnsi="Calibri"/>
                                <w:color w:val="FFFFFF"/>
                                <w:lang w:val="es-419"/>
                              </w:rPr>
                              <w:t>OEA/Ser.L/V/II</w:t>
                            </w:r>
                          </w:p>
                          <w:p w14:paraId="4C4DD949" w14:textId="3D9B101C" w:rsidR="00DF4939" w:rsidRPr="000F644A" w:rsidRDefault="00DF4939" w:rsidP="00AB5A28">
                            <w:pPr>
                              <w:spacing w:after="0" w:line="240" w:lineRule="auto"/>
                              <w:jc w:val="right"/>
                              <w:rPr>
                                <w:rFonts w:ascii="Calibri" w:hAnsi="Calibri"/>
                                <w:color w:val="FFFFFF"/>
                                <w:lang w:val="es-419"/>
                              </w:rPr>
                            </w:pPr>
                            <w:r w:rsidRPr="000F644A">
                              <w:rPr>
                                <w:rFonts w:ascii="Calibri" w:hAnsi="Calibri"/>
                                <w:color w:val="FFFFFF"/>
                                <w:lang w:val="es-419"/>
                              </w:rPr>
                              <w:t xml:space="preserve">Doc. </w:t>
                            </w:r>
                            <w:r w:rsidR="00542367" w:rsidRPr="000F644A">
                              <w:rPr>
                                <w:rFonts w:ascii="Calibri" w:hAnsi="Calibri"/>
                                <w:color w:val="FFFFFF"/>
                                <w:lang w:val="es-419"/>
                              </w:rPr>
                              <w:t>110</w:t>
                            </w:r>
                          </w:p>
                          <w:p w14:paraId="6195B277" w14:textId="2500B220" w:rsidR="00DF4939" w:rsidRPr="00365E52" w:rsidRDefault="00542367" w:rsidP="00AB5A28">
                            <w:pPr>
                              <w:spacing w:after="0" w:line="240" w:lineRule="auto"/>
                              <w:jc w:val="right"/>
                              <w:rPr>
                                <w:rFonts w:ascii="Calibri" w:hAnsi="Calibri"/>
                                <w:color w:val="FFFFFF"/>
                                <w:lang w:val="es-VE"/>
                              </w:rPr>
                            </w:pPr>
                            <w:r>
                              <w:rPr>
                                <w:rFonts w:ascii="Calibri" w:hAnsi="Calibri"/>
                                <w:color w:val="FFFFFF"/>
                                <w:lang w:val="es-VE"/>
                              </w:rPr>
                              <w:t xml:space="preserve">9 </w:t>
                            </w:r>
                            <w:r w:rsidR="00150822">
                              <w:rPr>
                                <w:rFonts w:ascii="Calibri" w:hAnsi="Calibri"/>
                                <w:color w:val="FFFFFF"/>
                                <w:lang w:val="es-VE"/>
                              </w:rPr>
                              <w:t>mayo</w:t>
                            </w:r>
                            <w:r w:rsidR="00DF4939" w:rsidRPr="00365E52">
                              <w:rPr>
                                <w:rFonts w:ascii="Calibri" w:hAnsi="Calibri"/>
                                <w:color w:val="FFFFFF"/>
                                <w:lang w:val="es-VE"/>
                              </w:rPr>
                              <w:t xml:space="preserve"> 202</w:t>
                            </w:r>
                            <w:r w:rsidR="007B2295">
                              <w:rPr>
                                <w:rFonts w:ascii="Calibri" w:hAnsi="Calibri"/>
                                <w:color w:val="FFFFFF"/>
                                <w:lang w:val="es-VE"/>
                              </w:rPr>
                              <w:t>2</w:t>
                            </w:r>
                          </w:p>
                          <w:p w14:paraId="46EC5D1E" w14:textId="77777777" w:rsidR="00DF4939" w:rsidRPr="00365E52" w:rsidRDefault="00DF4939" w:rsidP="00AB5A28">
                            <w:pPr>
                              <w:spacing w:after="0" w:line="240" w:lineRule="auto"/>
                              <w:jc w:val="right"/>
                              <w:rPr>
                                <w:rFonts w:ascii="Calibri" w:hAnsi="Calibri"/>
                                <w:color w:val="FFFFFF"/>
                                <w:lang w:val="es-VE"/>
                              </w:rPr>
                            </w:pPr>
                            <w:r w:rsidRPr="00365E52">
                              <w:rPr>
                                <w:rFonts w:ascii="Calibri" w:hAnsi="Calibri"/>
                                <w:color w:val="FFFFFF"/>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4812D4"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88E75E6" w14:textId="5B3C06EC" w:rsidR="00DF4939" w:rsidRPr="000F644A" w:rsidRDefault="00DF4939" w:rsidP="00AB5A28">
                      <w:pPr>
                        <w:spacing w:after="0" w:line="240" w:lineRule="auto"/>
                        <w:jc w:val="right"/>
                        <w:rPr>
                          <w:rFonts w:ascii="Calibri" w:hAnsi="Calibri"/>
                          <w:color w:val="FFFFFF"/>
                          <w:lang w:val="es-419"/>
                        </w:rPr>
                      </w:pPr>
                      <w:r w:rsidRPr="000F644A">
                        <w:rPr>
                          <w:rFonts w:ascii="Calibri" w:hAnsi="Calibri"/>
                          <w:color w:val="FFFFFF"/>
                          <w:lang w:val="es-419"/>
                        </w:rPr>
                        <w:t>OEA/Ser.L/V/II</w:t>
                      </w:r>
                    </w:p>
                    <w:p w14:paraId="4C4DD949" w14:textId="3D9B101C" w:rsidR="00DF4939" w:rsidRPr="000F644A" w:rsidRDefault="00DF4939" w:rsidP="00AB5A28">
                      <w:pPr>
                        <w:spacing w:after="0" w:line="240" w:lineRule="auto"/>
                        <w:jc w:val="right"/>
                        <w:rPr>
                          <w:rFonts w:ascii="Calibri" w:hAnsi="Calibri"/>
                          <w:color w:val="FFFFFF"/>
                          <w:lang w:val="es-419"/>
                        </w:rPr>
                      </w:pPr>
                      <w:r w:rsidRPr="000F644A">
                        <w:rPr>
                          <w:rFonts w:ascii="Calibri" w:hAnsi="Calibri"/>
                          <w:color w:val="FFFFFF"/>
                          <w:lang w:val="es-419"/>
                        </w:rPr>
                        <w:t xml:space="preserve">Doc. </w:t>
                      </w:r>
                      <w:r w:rsidR="00542367" w:rsidRPr="000F644A">
                        <w:rPr>
                          <w:rFonts w:ascii="Calibri" w:hAnsi="Calibri"/>
                          <w:color w:val="FFFFFF"/>
                          <w:lang w:val="es-419"/>
                        </w:rPr>
                        <w:t>110</w:t>
                      </w:r>
                    </w:p>
                    <w:p w14:paraId="6195B277" w14:textId="2500B220" w:rsidR="00DF4939" w:rsidRPr="00365E52" w:rsidRDefault="00542367" w:rsidP="00AB5A28">
                      <w:pPr>
                        <w:spacing w:after="0" w:line="240" w:lineRule="auto"/>
                        <w:jc w:val="right"/>
                        <w:rPr>
                          <w:rFonts w:ascii="Calibri" w:hAnsi="Calibri"/>
                          <w:color w:val="FFFFFF"/>
                          <w:lang w:val="es-VE"/>
                        </w:rPr>
                      </w:pPr>
                      <w:r>
                        <w:rPr>
                          <w:rFonts w:ascii="Calibri" w:hAnsi="Calibri"/>
                          <w:color w:val="FFFFFF"/>
                          <w:lang w:val="es-VE"/>
                        </w:rPr>
                        <w:t xml:space="preserve">9 </w:t>
                      </w:r>
                      <w:r w:rsidR="00150822">
                        <w:rPr>
                          <w:rFonts w:ascii="Calibri" w:hAnsi="Calibri"/>
                          <w:color w:val="FFFFFF"/>
                          <w:lang w:val="es-VE"/>
                        </w:rPr>
                        <w:t>mayo</w:t>
                      </w:r>
                      <w:r w:rsidR="00DF4939" w:rsidRPr="00365E52">
                        <w:rPr>
                          <w:rFonts w:ascii="Calibri" w:hAnsi="Calibri"/>
                          <w:color w:val="FFFFFF"/>
                          <w:lang w:val="es-VE"/>
                        </w:rPr>
                        <w:t xml:space="preserve"> 202</w:t>
                      </w:r>
                      <w:r w:rsidR="007B2295">
                        <w:rPr>
                          <w:rFonts w:ascii="Calibri" w:hAnsi="Calibri"/>
                          <w:color w:val="FFFFFF"/>
                          <w:lang w:val="es-VE"/>
                        </w:rPr>
                        <w:t>2</w:t>
                      </w:r>
                    </w:p>
                    <w:p w14:paraId="46EC5D1E" w14:textId="77777777" w:rsidR="00DF4939" w:rsidRPr="00365E52" w:rsidRDefault="00DF4939" w:rsidP="00AB5A28">
                      <w:pPr>
                        <w:spacing w:after="0" w:line="240" w:lineRule="auto"/>
                        <w:jc w:val="right"/>
                        <w:rPr>
                          <w:rFonts w:ascii="Calibri" w:hAnsi="Calibri"/>
                          <w:color w:val="FFFFFF"/>
                          <w:lang w:val="es-VE"/>
                        </w:rPr>
                      </w:pPr>
                      <w:r w:rsidRPr="00365E52">
                        <w:rPr>
                          <w:rFonts w:ascii="Calibri" w:hAnsi="Calibri"/>
                          <w:color w:val="FFFFFF"/>
                          <w:lang w:val="es-VE"/>
                        </w:rPr>
                        <w:t>Original: español</w:t>
                      </w:r>
                    </w:p>
                  </w:txbxContent>
                </v:textbox>
              </v:shape>
            </w:pict>
          </mc:Fallback>
        </mc:AlternateContent>
      </w:r>
    </w:p>
    <w:p w14:paraId="4D6F660F" w14:textId="77777777" w:rsidR="0037742A" w:rsidRPr="006276BB" w:rsidRDefault="0037742A" w:rsidP="00040C3A">
      <w:pPr>
        <w:tabs>
          <w:tab w:val="center" w:pos="5400"/>
        </w:tabs>
        <w:suppressAutoHyphens/>
        <w:jc w:val="center"/>
        <w:rPr>
          <w:rFonts w:asciiTheme="majorHAnsi" w:hAnsiTheme="majorHAnsi" w:cs="Arial"/>
          <w:lang w:val="es-ES_tradnl"/>
        </w:rPr>
      </w:pPr>
    </w:p>
    <w:p w14:paraId="45AB2856" w14:textId="77777777" w:rsidR="0037742A" w:rsidRPr="006276BB" w:rsidRDefault="0037742A" w:rsidP="00040C3A">
      <w:pPr>
        <w:tabs>
          <w:tab w:val="center" w:pos="5400"/>
        </w:tabs>
        <w:suppressAutoHyphens/>
        <w:jc w:val="center"/>
        <w:rPr>
          <w:rFonts w:asciiTheme="majorHAnsi" w:hAnsiTheme="majorHAnsi"/>
          <w:lang w:val="es-ES_tradnl"/>
        </w:rPr>
      </w:pPr>
    </w:p>
    <w:p w14:paraId="523751BE" w14:textId="77777777" w:rsidR="0037742A" w:rsidRPr="006276BB" w:rsidRDefault="0037742A" w:rsidP="00040C3A">
      <w:pPr>
        <w:tabs>
          <w:tab w:val="center" w:pos="5400"/>
        </w:tabs>
        <w:suppressAutoHyphens/>
        <w:jc w:val="center"/>
        <w:rPr>
          <w:rFonts w:asciiTheme="majorHAnsi" w:hAnsiTheme="majorHAnsi"/>
          <w:lang w:val="es-ES_tradnl"/>
        </w:rPr>
      </w:pPr>
    </w:p>
    <w:p w14:paraId="2F47D272" w14:textId="77777777" w:rsidR="0037742A" w:rsidRPr="006276BB" w:rsidRDefault="0037742A" w:rsidP="00040C3A">
      <w:pPr>
        <w:tabs>
          <w:tab w:val="center" w:pos="5400"/>
        </w:tabs>
        <w:suppressAutoHyphens/>
        <w:jc w:val="center"/>
        <w:rPr>
          <w:rFonts w:asciiTheme="majorHAnsi" w:hAnsiTheme="majorHAnsi"/>
          <w:lang w:val="es-ES_tradnl"/>
        </w:rPr>
      </w:pPr>
    </w:p>
    <w:p w14:paraId="716132E2" w14:textId="77777777" w:rsidR="0037742A" w:rsidRPr="006276BB" w:rsidRDefault="0037742A" w:rsidP="00040C3A">
      <w:pPr>
        <w:tabs>
          <w:tab w:val="center" w:pos="5400"/>
        </w:tabs>
        <w:suppressAutoHyphens/>
        <w:jc w:val="center"/>
        <w:rPr>
          <w:rFonts w:asciiTheme="majorHAnsi" w:hAnsiTheme="majorHAnsi"/>
          <w:lang w:val="es-ES_tradnl"/>
        </w:rPr>
      </w:pPr>
    </w:p>
    <w:p w14:paraId="7C1C979B"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6FF11A74"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0F90CBCE"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40E75475"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059FF64E"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64B8D418"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21AD7AAE"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17483683" w14:textId="77777777" w:rsidR="0037742A" w:rsidRPr="006276BB" w:rsidRDefault="00D4419B" w:rsidP="00040C3A">
      <w:pPr>
        <w:tabs>
          <w:tab w:val="center" w:pos="5400"/>
        </w:tabs>
        <w:suppressAutoHyphens/>
        <w:jc w:val="center"/>
        <w:rPr>
          <w:rFonts w:asciiTheme="majorHAnsi" w:hAnsiTheme="majorHAnsi"/>
          <w:sz w:val="18"/>
          <w:lang w:val="es-ES_tradnl"/>
        </w:rPr>
      </w:pPr>
      <w:r w:rsidRPr="006276BB">
        <w:rPr>
          <w:rFonts w:asciiTheme="majorHAnsi" w:hAnsiTheme="majorHAnsi"/>
          <w:noProof/>
        </w:rPr>
        <mc:AlternateContent>
          <mc:Choice Requires="wps">
            <w:drawing>
              <wp:anchor distT="0" distB="0" distL="114300" distR="114300" simplePos="0" relativeHeight="251658242" behindDoc="0" locked="0" layoutInCell="1" allowOverlap="1" wp14:anchorId="7F6D73A6" wp14:editId="24FAAD0E">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FF3FA" w14:textId="05C8FBFA" w:rsidR="00DF4939" w:rsidRPr="00365E52" w:rsidRDefault="00DF4939" w:rsidP="00DD3D86">
                            <w:pPr>
                              <w:tabs>
                                <w:tab w:val="center" w:pos="5400"/>
                              </w:tabs>
                              <w:suppressAutoHyphens/>
                              <w:spacing w:before="60"/>
                              <w:rPr>
                                <w:rFonts w:ascii="Cambria" w:hAnsi="Cambria"/>
                                <w:color w:val="0D0D0D"/>
                                <w:sz w:val="18"/>
                                <w:lang w:val="es-ES"/>
                              </w:rPr>
                            </w:pPr>
                            <w:r w:rsidRPr="00365E52">
                              <w:rPr>
                                <w:rFonts w:ascii="Cambria" w:hAnsi="Cambria"/>
                                <w:color w:val="0D0D0D"/>
                                <w:sz w:val="18"/>
                                <w:lang w:val="es-ES"/>
                              </w:rPr>
                              <w:t>Aprobado electr</w:t>
                            </w:r>
                            <w:r w:rsidRPr="00365E52">
                              <w:rPr>
                                <w:rFonts w:ascii="Cambria" w:hAnsi="Cambria"/>
                                <w:color w:val="0D0D0D"/>
                                <w:sz w:val="18"/>
                                <w:lang w:val="es-ES_tradnl"/>
                              </w:rPr>
                              <w:t>ónicamente</w:t>
                            </w:r>
                            <w:r w:rsidRPr="00365E52">
                              <w:rPr>
                                <w:rFonts w:ascii="Cambria" w:hAnsi="Cambria"/>
                                <w:color w:val="0D0D0D"/>
                                <w:sz w:val="18"/>
                                <w:lang w:val="es-ES"/>
                              </w:rPr>
                              <w:t xml:space="preserve"> por </w:t>
                            </w:r>
                            <w:r>
                              <w:rPr>
                                <w:rFonts w:ascii="Cambria" w:hAnsi="Cambria"/>
                                <w:color w:val="0D0D0D"/>
                                <w:sz w:val="18"/>
                                <w:lang w:val="es-ES"/>
                              </w:rPr>
                              <w:t xml:space="preserve">la Comisión el </w:t>
                            </w:r>
                            <w:r w:rsidR="006E74DD">
                              <w:rPr>
                                <w:rFonts w:ascii="Cambria" w:hAnsi="Cambria"/>
                                <w:color w:val="0D0D0D"/>
                                <w:sz w:val="18"/>
                                <w:lang w:val="es-ES"/>
                              </w:rPr>
                              <w:t>9</w:t>
                            </w:r>
                            <w:r>
                              <w:rPr>
                                <w:rFonts w:ascii="Cambria" w:hAnsi="Cambria"/>
                                <w:color w:val="0D0D0D"/>
                                <w:sz w:val="18"/>
                                <w:lang w:val="es-ES"/>
                              </w:rPr>
                              <w:t xml:space="preserve"> de </w:t>
                            </w:r>
                            <w:r w:rsidR="006E74DD">
                              <w:rPr>
                                <w:rFonts w:ascii="Cambria" w:hAnsi="Cambria"/>
                                <w:color w:val="0D0D0D"/>
                                <w:sz w:val="18"/>
                                <w:lang w:val="es-ES"/>
                              </w:rPr>
                              <w:t>mayo</w:t>
                            </w:r>
                            <w:r>
                              <w:rPr>
                                <w:rFonts w:ascii="Cambria" w:hAnsi="Cambria"/>
                                <w:color w:val="0D0D0D"/>
                                <w:sz w:val="18"/>
                                <w:lang w:val="es-ES"/>
                              </w:rPr>
                              <w:t xml:space="preserve"> de 202</w:t>
                            </w:r>
                            <w:r w:rsidR="004A42CE">
                              <w:rPr>
                                <w:rFonts w:ascii="Cambria" w:hAnsi="Cambria"/>
                                <w:color w:val="0D0D0D"/>
                                <w:sz w:val="18"/>
                                <w:lang w:val="es-ES"/>
                              </w:rPr>
                              <w:t>2</w:t>
                            </w:r>
                            <w:r w:rsidR="006E74DD">
                              <w:rPr>
                                <w:rFonts w:ascii="Cambria" w:hAnsi="Cambria"/>
                                <w:color w:val="0D0D0D"/>
                                <w:sz w:val="18"/>
                                <w:lang w:val="es-ES"/>
                              </w:rPr>
                              <w:t>.</w:t>
                            </w:r>
                          </w:p>
                          <w:p w14:paraId="604F9230" w14:textId="77777777" w:rsidR="00DF4939" w:rsidRPr="00365E52" w:rsidRDefault="00DF4939" w:rsidP="00247403">
                            <w:pPr>
                              <w:tabs>
                                <w:tab w:val="center" w:pos="5400"/>
                              </w:tabs>
                              <w:suppressAutoHyphens/>
                              <w:spacing w:before="60"/>
                              <w:rPr>
                                <w:rFonts w:ascii="Calibri" w:hAnsi="Calibri" w:cs="Univers"/>
                                <w:color w:val="0D0D0D"/>
                                <w:sz w:val="20"/>
                                <w:szCs w:val="20"/>
                                <w:lang w:val="es-ES"/>
                              </w:rPr>
                            </w:pPr>
                          </w:p>
                          <w:p w14:paraId="67A82981" w14:textId="77777777" w:rsidR="00DF4939" w:rsidRPr="00365E52" w:rsidRDefault="00DF4939"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6D73A6"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524FF3FA" w14:textId="05C8FBFA" w:rsidR="00DF4939" w:rsidRPr="00365E52" w:rsidRDefault="00DF4939" w:rsidP="00DD3D86">
                      <w:pPr>
                        <w:tabs>
                          <w:tab w:val="center" w:pos="5400"/>
                        </w:tabs>
                        <w:suppressAutoHyphens/>
                        <w:spacing w:before="60"/>
                        <w:rPr>
                          <w:rFonts w:ascii="Cambria" w:hAnsi="Cambria"/>
                          <w:color w:val="0D0D0D"/>
                          <w:sz w:val="18"/>
                          <w:lang w:val="es-ES"/>
                        </w:rPr>
                      </w:pPr>
                      <w:r w:rsidRPr="00365E52">
                        <w:rPr>
                          <w:rFonts w:ascii="Cambria" w:hAnsi="Cambria"/>
                          <w:color w:val="0D0D0D"/>
                          <w:sz w:val="18"/>
                          <w:lang w:val="es-ES"/>
                        </w:rPr>
                        <w:t>Aprobado electr</w:t>
                      </w:r>
                      <w:r w:rsidRPr="00365E52">
                        <w:rPr>
                          <w:rFonts w:ascii="Cambria" w:hAnsi="Cambria"/>
                          <w:color w:val="0D0D0D"/>
                          <w:sz w:val="18"/>
                          <w:lang w:val="es-ES_tradnl"/>
                        </w:rPr>
                        <w:t>ónicamente</w:t>
                      </w:r>
                      <w:r w:rsidRPr="00365E52">
                        <w:rPr>
                          <w:rFonts w:ascii="Cambria" w:hAnsi="Cambria"/>
                          <w:color w:val="0D0D0D"/>
                          <w:sz w:val="18"/>
                          <w:lang w:val="es-ES"/>
                        </w:rPr>
                        <w:t xml:space="preserve"> por </w:t>
                      </w:r>
                      <w:r>
                        <w:rPr>
                          <w:rFonts w:ascii="Cambria" w:hAnsi="Cambria"/>
                          <w:color w:val="0D0D0D"/>
                          <w:sz w:val="18"/>
                          <w:lang w:val="es-ES"/>
                        </w:rPr>
                        <w:t xml:space="preserve">la Comisión el </w:t>
                      </w:r>
                      <w:r w:rsidR="006E74DD">
                        <w:rPr>
                          <w:rFonts w:ascii="Cambria" w:hAnsi="Cambria"/>
                          <w:color w:val="0D0D0D"/>
                          <w:sz w:val="18"/>
                          <w:lang w:val="es-ES"/>
                        </w:rPr>
                        <w:t>9</w:t>
                      </w:r>
                      <w:r>
                        <w:rPr>
                          <w:rFonts w:ascii="Cambria" w:hAnsi="Cambria"/>
                          <w:color w:val="0D0D0D"/>
                          <w:sz w:val="18"/>
                          <w:lang w:val="es-ES"/>
                        </w:rPr>
                        <w:t xml:space="preserve"> de </w:t>
                      </w:r>
                      <w:r w:rsidR="006E74DD">
                        <w:rPr>
                          <w:rFonts w:ascii="Cambria" w:hAnsi="Cambria"/>
                          <w:color w:val="0D0D0D"/>
                          <w:sz w:val="18"/>
                          <w:lang w:val="es-ES"/>
                        </w:rPr>
                        <w:t>mayo</w:t>
                      </w:r>
                      <w:r>
                        <w:rPr>
                          <w:rFonts w:ascii="Cambria" w:hAnsi="Cambria"/>
                          <w:color w:val="0D0D0D"/>
                          <w:sz w:val="18"/>
                          <w:lang w:val="es-ES"/>
                        </w:rPr>
                        <w:t xml:space="preserve"> de 202</w:t>
                      </w:r>
                      <w:r w:rsidR="004A42CE">
                        <w:rPr>
                          <w:rFonts w:ascii="Cambria" w:hAnsi="Cambria"/>
                          <w:color w:val="0D0D0D"/>
                          <w:sz w:val="18"/>
                          <w:lang w:val="es-ES"/>
                        </w:rPr>
                        <w:t>2</w:t>
                      </w:r>
                      <w:r w:rsidR="006E74DD">
                        <w:rPr>
                          <w:rFonts w:ascii="Cambria" w:hAnsi="Cambria"/>
                          <w:color w:val="0D0D0D"/>
                          <w:sz w:val="18"/>
                          <w:lang w:val="es-ES"/>
                        </w:rPr>
                        <w:t>.</w:t>
                      </w:r>
                    </w:p>
                    <w:p w14:paraId="604F9230" w14:textId="77777777" w:rsidR="00DF4939" w:rsidRPr="00365E52" w:rsidRDefault="00DF4939" w:rsidP="00247403">
                      <w:pPr>
                        <w:tabs>
                          <w:tab w:val="center" w:pos="5400"/>
                        </w:tabs>
                        <w:suppressAutoHyphens/>
                        <w:spacing w:before="60"/>
                        <w:rPr>
                          <w:rFonts w:ascii="Calibri" w:hAnsi="Calibri" w:cs="Univers"/>
                          <w:color w:val="0D0D0D"/>
                          <w:sz w:val="20"/>
                          <w:szCs w:val="20"/>
                          <w:lang w:val="es-ES"/>
                        </w:rPr>
                      </w:pPr>
                    </w:p>
                    <w:p w14:paraId="67A82981" w14:textId="77777777" w:rsidR="00DF4939" w:rsidRPr="00365E52" w:rsidRDefault="00DF4939"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485FF623"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24727F8C"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63D814B4" w14:textId="77777777" w:rsidR="0037742A" w:rsidRPr="006276BB" w:rsidRDefault="00D4419B" w:rsidP="00040C3A">
      <w:pPr>
        <w:tabs>
          <w:tab w:val="center" w:pos="5400"/>
        </w:tabs>
        <w:suppressAutoHyphens/>
        <w:jc w:val="center"/>
        <w:rPr>
          <w:rFonts w:asciiTheme="majorHAnsi" w:hAnsiTheme="majorHAnsi"/>
          <w:sz w:val="18"/>
          <w:lang w:val="es-ES_tradnl"/>
        </w:rPr>
      </w:pPr>
      <w:r w:rsidRPr="006276BB">
        <w:rPr>
          <w:rFonts w:asciiTheme="majorHAnsi" w:hAnsiTheme="majorHAnsi"/>
          <w:noProof/>
        </w:rPr>
        <mc:AlternateContent>
          <mc:Choice Requires="wps">
            <w:drawing>
              <wp:anchor distT="0" distB="0" distL="114300" distR="114300" simplePos="0" relativeHeight="251658245" behindDoc="0" locked="0" layoutInCell="1" allowOverlap="1" wp14:anchorId="3FCDAE67" wp14:editId="34E676FA">
                <wp:simplePos x="0" y="0"/>
                <wp:positionH relativeFrom="column">
                  <wp:posOffset>1333500</wp:posOffset>
                </wp:positionH>
                <wp:positionV relativeFrom="paragraph">
                  <wp:posOffset>6985</wp:posOffset>
                </wp:positionV>
                <wp:extent cx="5078186"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8186"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F5B19" w14:textId="04DB81AA" w:rsidR="00DF4939" w:rsidRPr="00CC2E4B" w:rsidRDefault="00DF4939" w:rsidP="00CC2E4B">
                            <w:pPr>
                              <w:spacing w:after="0" w:line="240" w:lineRule="auto"/>
                              <w:rPr>
                                <w:rFonts w:ascii="Cambria" w:hAnsi="Cambria"/>
                                <w:color w:val="595959"/>
                                <w:sz w:val="18"/>
                                <w:szCs w:val="18"/>
                                <w:lang w:val="es-ES_tradnl"/>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6E74DD" w:rsidRPr="006E74DD">
                              <w:rPr>
                                <w:rFonts w:ascii="Cambria" w:hAnsi="Cambria"/>
                                <w:color w:val="595959"/>
                                <w:sz w:val="18"/>
                                <w:szCs w:val="18"/>
                                <w:lang w:val="pt-BR"/>
                              </w:rPr>
                              <w:t>107</w:t>
                            </w:r>
                            <w:r w:rsidRPr="006E74DD">
                              <w:rPr>
                                <w:rFonts w:ascii="Cambria" w:hAnsi="Cambria"/>
                                <w:color w:val="595959"/>
                                <w:sz w:val="18"/>
                                <w:szCs w:val="18"/>
                                <w:lang w:val="pt-BR"/>
                              </w:rPr>
                              <w:t>/2</w:t>
                            </w:r>
                            <w:r w:rsidR="006E74DD" w:rsidRPr="006E74DD">
                              <w:rPr>
                                <w:rFonts w:ascii="Cambria" w:hAnsi="Cambria"/>
                                <w:color w:val="595959"/>
                                <w:sz w:val="18"/>
                                <w:szCs w:val="18"/>
                                <w:lang w:val="pt-BR"/>
                              </w:rPr>
                              <w:t>2</w:t>
                            </w:r>
                            <w:r w:rsidRPr="006E74DD">
                              <w:rPr>
                                <w:rFonts w:ascii="Cambria" w:hAnsi="Cambria"/>
                                <w:color w:val="595959"/>
                                <w:sz w:val="18"/>
                                <w:szCs w:val="18"/>
                                <w:lang w:val="pt-BR"/>
                              </w:rPr>
                              <w:t xml:space="preserve">. </w:t>
                            </w:r>
                            <w:r w:rsidRPr="00365E52">
                              <w:rPr>
                                <w:rFonts w:ascii="Cambria" w:hAnsi="Cambria"/>
                                <w:color w:val="595959"/>
                                <w:sz w:val="18"/>
                                <w:szCs w:val="18"/>
                                <w:lang w:val="es-ES_tradnl"/>
                              </w:rPr>
                              <w:t>Petici</w:t>
                            </w:r>
                            <w:r w:rsidRPr="00365E52">
                              <w:rPr>
                                <w:rFonts w:ascii="Cambria" w:hAnsi="Cambria"/>
                                <w:color w:val="595959"/>
                                <w:sz w:val="18"/>
                                <w:szCs w:val="18"/>
                                <w:lang w:val="es-ES"/>
                              </w:rPr>
                              <w:t xml:space="preserve">ón </w:t>
                            </w:r>
                            <w:r>
                              <w:rPr>
                                <w:rFonts w:ascii="Cambria" w:hAnsi="Cambria"/>
                                <w:color w:val="595959"/>
                                <w:sz w:val="18"/>
                                <w:szCs w:val="18"/>
                                <w:lang w:val="es-ES"/>
                              </w:rPr>
                              <w:t>375-14</w:t>
                            </w:r>
                            <w:r w:rsidR="00CC2E4B">
                              <w:rPr>
                                <w:rFonts w:ascii="Cambria" w:hAnsi="Cambria"/>
                                <w:color w:val="595959"/>
                                <w:sz w:val="18"/>
                                <w:szCs w:val="18"/>
                                <w:lang w:val="es-ES"/>
                              </w:rPr>
                              <w:t>.</w:t>
                            </w:r>
                            <w:r w:rsidRPr="00365E52">
                              <w:rPr>
                                <w:rFonts w:ascii="Cambria" w:hAnsi="Cambria"/>
                                <w:color w:val="595959"/>
                                <w:sz w:val="18"/>
                                <w:szCs w:val="18"/>
                                <w:lang w:val="es-ES"/>
                              </w:rPr>
                              <w:t xml:space="preserve"> </w:t>
                            </w:r>
                            <w:r w:rsidR="0030419B">
                              <w:rPr>
                                <w:rFonts w:ascii="Cambria" w:hAnsi="Cambria"/>
                                <w:color w:val="595959"/>
                                <w:sz w:val="18"/>
                                <w:szCs w:val="18"/>
                                <w:lang w:val="es-ES_tradnl"/>
                              </w:rPr>
                              <w:t>Ina</w:t>
                            </w:r>
                            <w:r>
                              <w:rPr>
                                <w:rFonts w:ascii="Cambria" w:hAnsi="Cambria"/>
                                <w:color w:val="595959"/>
                                <w:sz w:val="18"/>
                                <w:szCs w:val="18"/>
                                <w:lang w:val="es-ES_tradnl"/>
                              </w:rPr>
                              <w:t>dmisibilidad.</w:t>
                            </w:r>
                            <w:r w:rsidR="00CC2E4B">
                              <w:rPr>
                                <w:rFonts w:ascii="Cambria" w:hAnsi="Cambria"/>
                                <w:color w:val="595959"/>
                                <w:sz w:val="18"/>
                                <w:szCs w:val="18"/>
                                <w:lang w:val="es-ES_tradnl"/>
                              </w:rPr>
                              <w:t xml:space="preserve"> </w:t>
                            </w:r>
                            <w:r w:rsidR="006C2CFC">
                              <w:rPr>
                                <w:rFonts w:ascii="Cambria" w:hAnsi="Cambria"/>
                                <w:color w:val="595959"/>
                                <w:sz w:val="18"/>
                                <w:szCs w:val="18"/>
                                <w:lang w:val="es-ES_tradnl"/>
                              </w:rPr>
                              <w:t>Manuel</w:t>
                            </w:r>
                            <w:r>
                              <w:rPr>
                                <w:rFonts w:ascii="Cambria" w:hAnsi="Cambria"/>
                                <w:color w:val="595959"/>
                                <w:sz w:val="18"/>
                                <w:szCs w:val="18"/>
                                <w:lang w:val="es-ES_tradnl"/>
                              </w:rPr>
                              <w:t xml:space="preserve"> Enrique Leiva Oliva</w:t>
                            </w:r>
                            <w:r w:rsidRPr="00365E52">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09740F">
                              <w:rPr>
                                <w:rFonts w:ascii="Cambria" w:hAnsi="Cambria"/>
                                <w:color w:val="595959"/>
                                <w:sz w:val="18"/>
                                <w:szCs w:val="18"/>
                                <w:lang w:val="es-ES"/>
                              </w:rPr>
                              <w:t>9 de mayo de 2022</w:t>
                            </w:r>
                            <w:r w:rsidRPr="00365E5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CDAE67" id="Text Box 10" o:spid="_x0000_s1030" type="#_x0000_t202" style="position:absolute;left:0;text-align:left;margin-left:105pt;margin-top:.55pt;width:399.8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" filled="f" stroked="f" strokeweight=".5pt">
                <v:textbox>
                  <w:txbxContent>
                    <w:p w14:paraId="61BF5B19" w14:textId="04DB81AA" w:rsidR="00DF4939" w:rsidRPr="00CC2E4B" w:rsidRDefault="00DF4939" w:rsidP="00CC2E4B">
                      <w:pPr>
                        <w:spacing w:after="0" w:line="240" w:lineRule="auto"/>
                        <w:rPr>
                          <w:rFonts w:ascii="Cambria" w:hAnsi="Cambria"/>
                          <w:color w:val="595959"/>
                          <w:sz w:val="18"/>
                          <w:szCs w:val="18"/>
                          <w:lang w:val="es-ES_tradnl"/>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6E74DD" w:rsidRPr="006E74DD">
                        <w:rPr>
                          <w:rFonts w:ascii="Cambria" w:hAnsi="Cambria"/>
                          <w:color w:val="595959"/>
                          <w:sz w:val="18"/>
                          <w:szCs w:val="18"/>
                          <w:lang w:val="pt-BR"/>
                        </w:rPr>
                        <w:t>107</w:t>
                      </w:r>
                      <w:r w:rsidRPr="006E74DD">
                        <w:rPr>
                          <w:rFonts w:ascii="Cambria" w:hAnsi="Cambria"/>
                          <w:color w:val="595959"/>
                          <w:sz w:val="18"/>
                          <w:szCs w:val="18"/>
                          <w:lang w:val="pt-BR"/>
                        </w:rPr>
                        <w:t>/2</w:t>
                      </w:r>
                      <w:r w:rsidR="006E74DD" w:rsidRPr="006E74DD">
                        <w:rPr>
                          <w:rFonts w:ascii="Cambria" w:hAnsi="Cambria"/>
                          <w:color w:val="595959"/>
                          <w:sz w:val="18"/>
                          <w:szCs w:val="18"/>
                          <w:lang w:val="pt-BR"/>
                        </w:rPr>
                        <w:t>2</w:t>
                      </w:r>
                      <w:r w:rsidRPr="006E74DD">
                        <w:rPr>
                          <w:rFonts w:ascii="Cambria" w:hAnsi="Cambria"/>
                          <w:color w:val="595959"/>
                          <w:sz w:val="18"/>
                          <w:szCs w:val="18"/>
                          <w:lang w:val="pt-BR"/>
                        </w:rPr>
                        <w:t xml:space="preserve">. </w:t>
                      </w:r>
                      <w:r w:rsidRPr="00365E52">
                        <w:rPr>
                          <w:rFonts w:ascii="Cambria" w:hAnsi="Cambria"/>
                          <w:color w:val="595959"/>
                          <w:sz w:val="18"/>
                          <w:szCs w:val="18"/>
                          <w:lang w:val="es-ES_tradnl"/>
                        </w:rPr>
                        <w:t>Petici</w:t>
                      </w:r>
                      <w:r w:rsidRPr="00365E52">
                        <w:rPr>
                          <w:rFonts w:ascii="Cambria" w:hAnsi="Cambria"/>
                          <w:color w:val="595959"/>
                          <w:sz w:val="18"/>
                          <w:szCs w:val="18"/>
                          <w:lang w:val="es-ES"/>
                        </w:rPr>
                        <w:t xml:space="preserve">ón </w:t>
                      </w:r>
                      <w:r>
                        <w:rPr>
                          <w:rFonts w:ascii="Cambria" w:hAnsi="Cambria"/>
                          <w:color w:val="595959"/>
                          <w:sz w:val="18"/>
                          <w:szCs w:val="18"/>
                          <w:lang w:val="es-ES"/>
                        </w:rPr>
                        <w:t>375-14</w:t>
                      </w:r>
                      <w:r w:rsidR="00CC2E4B">
                        <w:rPr>
                          <w:rFonts w:ascii="Cambria" w:hAnsi="Cambria"/>
                          <w:color w:val="595959"/>
                          <w:sz w:val="18"/>
                          <w:szCs w:val="18"/>
                          <w:lang w:val="es-ES"/>
                        </w:rPr>
                        <w:t>.</w:t>
                      </w:r>
                      <w:r w:rsidRPr="00365E52">
                        <w:rPr>
                          <w:rFonts w:ascii="Cambria" w:hAnsi="Cambria"/>
                          <w:color w:val="595959"/>
                          <w:sz w:val="18"/>
                          <w:szCs w:val="18"/>
                          <w:lang w:val="es-ES"/>
                        </w:rPr>
                        <w:t xml:space="preserve"> </w:t>
                      </w:r>
                      <w:r w:rsidR="0030419B">
                        <w:rPr>
                          <w:rFonts w:ascii="Cambria" w:hAnsi="Cambria"/>
                          <w:color w:val="595959"/>
                          <w:sz w:val="18"/>
                          <w:szCs w:val="18"/>
                          <w:lang w:val="es-ES_tradnl"/>
                        </w:rPr>
                        <w:t>Ina</w:t>
                      </w:r>
                      <w:r>
                        <w:rPr>
                          <w:rFonts w:ascii="Cambria" w:hAnsi="Cambria"/>
                          <w:color w:val="595959"/>
                          <w:sz w:val="18"/>
                          <w:szCs w:val="18"/>
                          <w:lang w:val="es-ES_tradnl"/>
                        </w:rPr>
                        <w:t>dmisibilidad.</w:t>
                      </w:r>
                      <w:r w:rsidR="00CC2E4B">
                        <w:rPr>
                          <w:rFonts w:ascii="Cambria" w:hAnsi="Cambria"/>
                          <w:color w:val="595959"/>
                          <w:sz w:val="18"/>
                          <w:szCs w:val="18"/>
                          <w:lang w:val="es-ES_tradnl"/>
                        </w:rPr>
                        <w:t xml:space="preserve"> </w:t>
                      </w:r>
                      <w:r w:rsidR="006C2CFC">
                        <w:rPr>
                          <w:rFonts w:ascii="Cambria" w:hAnsi="Cambria"/>
                          <w:color w:val="595959"/>
                          <w:sz w:val="18"/>
                          <w:szCs w:val="18"/>
                          <w:lang w:val="es-ES_tradnl"/>
                        </w:rPr>
                        <w:t>Manuel</w:t>
                      </w:r>
                      <w:r>
                        <w:rPr>
                          <w:rFonts w:ascii="Cambria" w:hAnsi="Cambria"/>
                          <w:color w:val="595959"/>
                          <w:sz w:val="18"/>
                          <w:szCs w:val="18"/>
                          <w:lang w:val="es-ES_tradnl"/>
                        </w:rPr>
                        <w:t xml:space="preserve"> Enrique Leiva Oliva</w:t>
                      </w:r>
                      <w:r w:rsidRPr="00365E52">
                        <w:rPr>
                          <w:rFonts w:ascii="Cambria" w:hAnsi="Cambria"/>
                          <w:color w:val="595959"/>
                          <w:sz w:val="18"/>
                          <w:szCs w:val="18"/>
                          <w:lang w:val="es-ES_tradnl"/>
                        </w:rPr>
                        <w:t xml:space="preserve">. </w:t>
                      </w:r>
                      <w:r>
                        <w:rPr>
                          <w:rFonts w:ascii="Cambria" w:hAnsi="Cambria"/>
                          <w:color w:val="595959"/>
                          <w:sz w:val="18"/>
                          <w:szCs w:val="18"/>
                          <w:lang w:val="es-ES_tradnl"/>
                        </w:rPr>
                        <w:t>Honduras</w:t>
                      </w:r>
                      <w:r w:rsidRPr="00365E52">
                        <w:rPr>
                          <w:rFonts w:ascii="Cambria" w:hAnsi="Cambria"/>
                          <w:color w:val="595959"/>
                          <w:sz w:val="18"/>
                          <w:szCs w:val="18"/>
                          <w:lang w:val="es-ES_tradnl"/>
                        </w:rPr>
                        <w:t xml:space="preserve">. </w:t>
                      </w:r>
                      <w:r w:rsidR="0009740F">
                        <w:rPr>
                          <w:rFonts w:ascii="Cambria" w:hAnsi="Cambria"/>
                          <w:color w:val="595959"/>
                          <w:sz w:val="18"/>
                          <w:szCs w:val="18"/>
                          <w:lang w:val="es-ES"/>
                        </w:rPr>
                        <w:t>9 de mayo de 2022</w:t>
                      </w:r>
                      <w:r w:rsidRPr="00365E52">
                        <w:rPr>
                          <w:rFonts w:ascii="Cambria" w:hAnsi="Cambria"/>
                          <w:color w:val="595959"/>
                          <w:sz w:val="18"/>
                          <w:szCs w:val="18"/>
                          <w:lang w:val="es-ES"/>
                        </w:rPr>
                        <w:t>.</w:t>
                      </w:r>
                    </w:p>
                  </w:txbxContent>
                </v:textbox>
              </v:shape>
            </w:pict>
          </mc:Fallback>
        </mc:AlternateContent>
      </w:r>
    </w:p>
    <w:p w14:paraId="739F2EE7" w14:textId="77777777" w:rsidR="0037742A" w:rsidRPr="006276BB" w:rsidRDefault="0037742A" w:rsidP="00040C3A">
      <w:pPr>
        <w:tabs>
          <w:tab w:val="center" w:pos="5400"/>
        </w:tabs>
        <w:suppressAutoHyphens/>
        <w:jc w:val="center"/>
        <w:rPr>
          <w:rFonts w:asciiTheme="majorHAnsi" w:hAnsiTheme="majorHAnsi"/>
          <w:sz w:val="18"/>
          <w:lang w:val="es-ES_tradnl"/>
        </w:rPr>
      </w:pPr>
    </w:p>
    <w:p w14:paraId="3CD75B3D" w14:textId="155848B3" w:rsidR="0037742A" w:rsidRPr="006276BB" w:rsidRDefault="00D4419B" w:rsidP="005516A1">
      <w:pPr>
        <w:tabs>
          <w:tab w:val="center" w:pos="5400"/>
        </w:tabs>
        <w:suppressAutoHyphens/>
        <w:jc w:val="center"/>
        <w:rPr>
          <w:rFonts w:asciiTheme="majorHAnsi" w:hAnsiTheme="majorHAnsi"/>
          <w:b/>
          <w:sz w:val="20"/>
          <w:lang w:val="es-ES_tradnl"/>
        </w:rPr>
      </w:pPr>
      <w:r w:rsidRPr="006276BB">
        <w:rPr>
          <w:rFonts w:asciiTheme="majorHAnsi" w:hAnsiTheme="majorHAnsi"/>
          <w:noProof/>
        </w:rPr>
        <mc:AlternateContent>
          <mc:Choice Requires="wps">
            <w:drawing>
              <wp:anchor distT="0" distB="0" distL="114300" distR="114300" simplePos="0" relativeHeight="251658246" behindDoc="0" locked="0" layoutInCell="1" allowOverlap="1" wp14:anchorId="6C6BAA08" wp14:editId="40F302D1">
                <wp:simplePos x="0" y="0"/>
                <wp:positionH relativeFrom="column">
                  <wp:posOffset>1329690</wp:posOffset>
                </wp:positionH>
                <wp:positionV relativeFrom="paragraph">
                  <wp:posOffset>638810</wp:posOffset>
                </wp:positionV>
                <wp:extent cx="4096385" cy="5670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20644A" w14:textId="21D21E10" w:rsidR="00DF4939" w:rsidRPr="00365E52" w:rsidRDefault="001E162A" w:rsidP="00F02AD1">
                            <w:pPr>
                              <w:rPr>
                                <w:color w:val="FFFFFF"/>
                              </w:rPr>
                            </w:pPr>
                            <w:r>
                              <w:rPr>
                                <w:noProof/>
                                <w:color w:val="FFFFFF"/>
                              </w:rPr>
                              <w:drawing>
                                <wp:inline distT="0" distB="0" distL="0" distR="0" wp14:anchorId="347C141A" wp14:editId="215DAD67">
                                  <wp:extent cx="1823085" cy="467995"/>
                                  <wp:effectExtent l="0" t="0" r="5715" b="825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085" cy="467995"/>
                                          </a:xfrm>
                                          <a:prstGeom prst="rect">
                                            <a:avLst/>
                                          </a:prstGeom>
                                          <a:noFill/>
                                          <a:ln>
                                            <a:noFill/>
                                          </a:ln>
                                        </pic:spPr>
                                      </pic:pic>
                                    </a:graphicData>
                                  </a:graphic>
                                </wp:inline>
                              </w:drawing>
                            </w:r>
                            <w:r>
                              <w:rPr>
                                <w:rFonts w:ascii="Cambria" w:hAnsi="Cambria"/>
                                <w:color w:val="000000"/>
                                <w:sz w:val="20"/>
                                <w:szCs w:val="20"/>
                                <w:shd w:val="clear" w:color="auto" w:fill="FFFFFF"/>
                                <w:lang w:val="es-C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BAA08"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j+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" stroked="f" strokeweight=".5pt">
                <v:textbox>
                  <w:txbxContent>
                    <w:p w14:paraId="5320644A" w14:textId="21D21E10" w:rsidR="00DF4939" w:rsidRPr="00365E52" w:rsidRDefault="001E162A" w:rsidP="00F02AD1">
                      <w:pPr>
                        <w:rPr>
                          <w:color w:val="FFFFFF"/>
                        </w:rPr>
                      </w:pPr>
                      <w:r>
                        <w:rPr>
                          <w:noProof/>
                          <w:color w:val="FFFFFF"/>
                        </w:rPr>
                        <w:drawing>
                          <wp:inline distT="0" distB="0" distL="0" distR="0" wp14:anchorId="347C141A" wp14:editId="215DAD67">
                            <wp:extent cx="1823085" cy="467995"/>
                            <wp:effectExtent l="0" t="0" r="5715" b="825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085" cy="467995"/>
                                    </a:xfrm>
                                    <a:prstGeom prst="rect">
                                      <a:avLst/>
                                    </a:prstGeom>
                                    <a:noFill/>
                                    <a:ln>
                                      <a:noFill/>
                                    </a:ln>
                                  </pic:spPr>
                                </pic:pic>
                              </a:graphicData>
                            </a:graphic>
                          </wp:inline>
                        </w:drawing>
                      </w:r>
                      <w:r>
                        <w:rPr>
                          <w:rFonts w:ascii="Cambria" w:hAnsi="Cambria"/>
                          <w:color w:val="000000"/>
                          <w:sz w:val="20"/>
                          <w:szCs w:val="20"/>
                          <w:shd w:val="clear" w:color="auto" w:fill="FFFFFF"/>
                          <w:lang w:val="es-CL"/>
                        </w:rPr>
                        <w:br/>
                      </w:r>
                    </w:p>
                  </w:txbxContent>
                </v:textbox>
              </v:shape>
            </w:pict>
          </mc:Fallback>
        </mc:AlternateContent>
      </w:r>
    </w:p>
    <w:p w14:paraId="2CD40ECD" w14:textId="76E9BBB0" w:rsidR="0037742A" w:rsidRPr="006276BB" w:rsidRDefault="007E1648" w:rsidP="005516A1">
      <w:pPr>
        <w:tabs>
          <w:tab w:val="center" w:pos="5400"/>
        </w:tabs>
        <w:suppressAutoHyphens/>
        <w:jc w:val="center"/>
        <w:rPr>
          <w:rFonts w:asciiTheme="majorHAnsi" w:hAnsiTheme="majorHAnsi"/>
          <w:b/>
          <w:sz w:val="20"/>
          <w:lang w:val="es-ES_tradnl"/>
        </w:rPr>
        <w:sectPr w:rsidR="0037742A" w:rsidRPr="006276B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rtlGutter/>
          <w:docGrid w:linePitch="326"/>
        </w:sectPr>
      </w:pPr>
      <w:r w:rsidRPr="006276BB">
        <w:rPr>
          <w:rFonts w:asciiTheme="majorHAnsi" w:hAnsiTheme="majorHAnsi"/>
          <w:noProof/>
        </w:rPr>
        <mc:AlternateContent>
          <mc:Choice Requires="wps">
            <w:drawing>
              <wp:anchor distT="0" distB="0" distL="114300" distR="114300" simplePos="0" relativeHeight="251658247" behindDoc="0" locked="0" layoutInCell="1" allowOverlap="1" wp14:anchorId="7CF8AEF3" wp14:editId="60BC8A3F">
                <wp:simplePos x="0" y="0"/>
                <wp:positionH relativeFrom="column">
                  <wp:posOffset>-244112</wp:posOffset>
                </wp:positionH>
                <wp:positionV relativeFrom="paragraph">
                  <wp:posOffset>572770</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C75E2" w14:textId="77777777" w:rsidR="00DF4939" w:rsidRPr="00365E52" w:rsidRDefault="00DF4939" w:rsidP="00D306D1">
                            <w:pPr>
                              <w:jc w:val="center"/>
                              <w:rPr>
                                <w:rFonts w:ascii="Calibri" w:hAnsi="Calibri"/>
                                <w:b/>
                                <w:color w:val="FFFFFF"/>
                              </w:rPr>
                            </w:pPr>
                            <w:r w:rsidRPr="00365E5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8AEF3" id="Text Box 4" o:spid="_x0000_s1032" type="#_x0000_t202" style="position:absolute;left:0;text-align:left;margin-left:-19.2pt;margin-top:45.1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" filled="f" stroked="f" strokeweight=".5pt">
                <v:textbox>
                  <w:txbxContent>
                    <w:p w14:paraId="4E4C75E2" w14:textId="77777777" w:rsidR="00DF4939" w:rsidRPr="00365E52" w:rsidRDefault="00DF4939" w:rsidP="00D306D1">
                      <w:pPr>
                        <w:jc w:val="center"/>
                        <w:rPr>
                          <w:rFonts w:ascii="Calibri" w:hAnsi="Calibri"/>
                          <w:b/>
                          <w:color w:val="FFFFFF"/>
                        </w:rPr>
                      </w:pPr>
                      <w:r w:rsidRPr="00365E52">
                        <w:rPr>
                          <w:rFonts w:ascii="Calibri" w:hAnsi="Calibri"/>
                          <w:b/>
                          <w:color w:val="FFFFFF"/>
                          <w:lang w:val="pt-BR"/>
                        </w:rPr>
                        <w:t>www.cidh.org</w:t>
                      </w:r>
                    </w:p>
                  </w:txbxContent>
                </v:textbox>
              </v:shape>
            </w:pict>
          </mc:Fallback>
        </mc:AlternateContent>
      </w:r>
      <w:r w:rsidR="0037742A" w:rsidRPr="006276BB">
        <w:rPr>
          <w:rFonts w:asciiTheme="majorHAnsi" w:hAnsiTheme="majorHAnsi"/>
          <w:b/>
          <w:sz w:val="20"/>
          <w:lang w:val="es-ES_tradnl"/>
        </w:rPr>
        <w:tab/>
      </w:r>
    </w:p>
    <w:p w14:paraId="34F0FDAC" w14:textId="77777777" w:rsidR="00D12290" w:rsidRDefault="00D12290" w:rsidP="004A6A54">
      <w:pPr>
        <w:spacing w:after="240"/>
        <w:ind w:firstLine="720"/>
        <w:jc w:val="both"/>
        <w:rPr>
          <w:rFonts w:asciiTheme="majorHAnsi" w:hAnsiTheme="majorHAnsi"/>
          <w:b/>
          <w:bCs/>
          <w:sz w:val="20"/>
          <w:szCs w:val="20"/>
          <w:lang w:val="es-ES"/>
        </w:rPr>
      </w:pPr>
    </w:p>
    <w:p w14:paraId="5E488791" w14:textId="21AB6849" w:rsidR="0037742A" w:rsidRPr="00B01D4E" w:rsidRDefault="0037742A" w:rsidP="00B01D4E">
      <w:pPr>
        <w:pStyle w:val="ListParagraph"/>
        <w:numPr>
          <w:ilvl w:val="0"/>
          <w:numId w:val="64"/>
        </w:numPr>
        <w:spacing w:after="0" w:line="240" w:lineRule="auto"/>
        <w:jc w:val="both"/>
        <w:rPr>
          <w:rFonts w:asciiTheme="majorHAnsi" w:hAnsiTheme="majorHAnsi"/>
          <w:b/>
          <w:bCs/>
          <w:sz w:val="20"/>
          <w:szCs w:val="20"/>
          <w:lang w:val="es-ES"/>
        </w:rPr>
      </w:pPr>
      <w:r w:rsidRPr="00B01D4E">
        <w:rPr>
          <w:rFonts w:asciiTheme="majorHAnsi" w:hAnsiTheme="majorHAnsi"/>
          <w:b/>
          <w:bCs/>
          <w:sz w:val="20"/>
          <w:szCs w:val="20"/>
          <w:lang w:val="es-ES"/>
        </w:rPr>
        <w:t xml:space="preserve">DATOS DE LA PETICIÓN </w:t>
      </w:r>
    </w:p>
    <w:p w14:paraId="73F88FA3" w14:textId="77777777" w:rsidR="00B01D4E" w:rsidRPr="00B01D4E" w:rsidRDefault="00B01D4E" w:rsidP="00B01D4E">
      <w:pPr>
        <w:pStyle w:val="ListParagraph"/>
        <w:spacing w:after="0" w:line="240" w:lineRule="auto"/>
        <w:ind w:left="1440"/>
        <w:jc w:val="both"/>
        <w:rPr>
          <w:rFonts w:asciiTheme="majorHAnsi" w:hAnsiTheme="majorHAnsi"/>
          <w:b/>
          <w:bCs/>
          <w:sz w:val="20"/>
          <w:szCs w:val="20"/>
          <w:lang w:val="es-ES"/>
        </w:rPr>
      </w:pPr>
    </w:p>
    <w:tbl>
      <w:tblPr>
        <w:tblW w:w="924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647"/>
      </w:tblGrid>
      <w:tr w:rsidR="0037742A" w:rsidRPr="0060450C" w14:paraId="49C21C8E" w14:textId="77777777" w:rsidTr="007B2295">
        <w:tc>
          <w:tcPr>
            <w:tcW w:w="3600" w:type="dxa"/>
            <w:tcBorders>
              <w:top w:val="single" w:sz="4" w:space="0" w:color="auto"/>
            </w:tcBorders>
            <w:shd w:val="clear" w:color="auto" w:fill="386294"/>
            <w:vAlign w:val="center"/>
          </w:tcPr>
          <w:p w14:paraId="1F85AF41" w14:textId="77777777" w:rsidR="0037742A" w:rsidRPr="006276BB" w:rsidRDefault="0037742A" w:rsidP="00B01D4E">
            <w:pPr>
              <w:spacing w:after="0" w:line="240" w:lineRule="auto"/>
              <w:jc w:val="center"/>
              <w:rPr>
                <w:rFonts w:asciiTheme="majorHAnsi" w:hAnsiTheme="majorHAnsi"/>
                <w:b/>
                <w:bCs/>
                <w:color w:val="FFFFFF"/>
                <w:sz w:val="20"/>
                <w:szCs w:val="20"/>
              </w:rPr>
            </w:pPr>
            <w:r w:rsidRPr="006276BB">
              <w:rPr>
                <w:rFonts w:asciiTheme="majorHAnsi" w:hAnsiTheme="majorHAnsi"/>
                <w:b/>
                <w:bCs/>
                <w:color w:val="FFFFFF"/>
                <w:sz w:val="20"/>
                <w:szCs w:val="20"/>
              </w:rPr>
              <w:t>Parte peticionaria:</w:t>
            </w:r>
          </w:p>
        </w:tc>
        <w:tc>
          <w:tcPr>
            <w:tcW w:w="5647" w:type="dxa"/>
            <w:tcBorders>
              <w:top w:val="single" w:sz="4" w:space="0" w:color="auto"/>
            </w:tcBorders>
            <w:vAlign w:val="center"/>
          </w:tcPr>
          <w:p w14:paraId="66A10177" w14:textId="4E152BAE" w:rsidR="0037742A" w:rsidRPr="00053E6D" w:rsidRDefault="0060450C" w:rsidP="00B01D4E">
            <w:pPr>
              <w:spacing w:after="0" w:line="240" w:lineRule="auto"/>
              <w:jc w:val="both"/>
              <w:rPr>
                <w:rFonts w:asciiTheme="majorHAnsi" w:hAnsiTheme="majorHAnsi"/>
                <w:bCs/>
                <w:sz w:val="20"/>
                <w:szCs w:val="20"/>
              </w:rPr>
            </w:pPr>
            <w:r>
              <w:rPr>
                <w:rFonts w:asciiTheme="majorHAnsi" w:hAnsiTheme="majorHAnsi"/>
                <w:bCs/>
                <w:sz w:val="20"/>
                <w:szCs w:val="20"/>
              </w:rPr>
              <w:t>Melvin Evenor L</w:t>
            </w:r>
            <w:r w:rsidR="003E036D">
              <w:rPr>
                <w:rFonts w:asciiTheme="majorHAnsi" w:hAnsiTheme="majorHAnsi"/>
                <w:bCs/>
                <w:sz w:val="20"/>
                <w:szCs w:val="20"/>
              </w:rPr>
              <w:t>ó</w:t>
            </w:r>
            <w:r>
              <w:rPr>
                <w:rFonts w:asciiTheme="majorHAnsi" w:hAnsiTheme="majorHAnsi"/>
                <w:bCs/>
                <w:sz w:val="20"/>
                <w:szCs w:val="20"/>
              </w:rPr>
              <w:t xml:space="preserve">pez Herrera </w:t>
            </w:r>
            <w:r w:rsidR="001E21FE" w:rsidRPr="00053E6D">
              <w:rPr>
                <w:rFonts w:asciiTheme="majorHAnsi" w:hAnsiTheme="majorHAnsi"/>
                <w:bCs/>
                <w:sz w:val="20"/>
                <w:szCs w:val="20"/>
              </w:rPr>
              <w:t xml:space="preserve"> </w:t>
            </w:r>
          </w:p>
        </w:tc>
      </w:tr>
      <w:tr w:rsidR="0037742A" w:rsidRPr="0060450C" w14:paraId="00D07491" w14:textId="77777777" w:rsidTr="007B2295">
        <w:tc>
          <w:tcPr>
            <w:tcW w:w="3600" w:type="dxa"/>
            <w:shd w:val="clear" w:color="auto" w:fill="386294"/>
            <w:vAlign w:val="center"/>
          </w:tcPr>
          <w:p w14:paraId="36CE43C3" w14:textId="77777777" w:rsidR="0037742A" w:rsidRPr="006276BB" w:rsidRDefault="0037742A" w:rsidP="00B01D4E">
            <w:pPr>
              <w:spacing w:after="0" w:line="240" w:lineRule="auto"/>
              <w:jc w:val="center"/>
              <w:rPr>
                <w:rFonts w:asciiTheme="majorHAnsi" w:hAnsiTheme="majorHAnsi"/>
                <w:b/>
                <w:bCs/>
                <w:color w:val="FFFFFF"/>
                <w:sz w:val="20"/>
                <w:szCs w:val="20"/>
              </w:rPr>
            </w:pPr>
            <w:r w:rsidRPr="006276BB">
              <w:rPr>
                <w:rFonts w:asciiTheme="majorHAnsi" w:hAnsiTheme="majorHAnsi"/>
                <w:b/>
                <w:bCs/>
                <w:color w:val="FFFFFF"/>
                <w:sz w:val="20"/>
                <w:szCs w:val="20"/>
              </w:rPr>
              <w:t>Presunta víctima:</w:t>
            </w:r>
          </w:p>
        </w:tc>
        <w:tc>
          <w:tcPr>
            <w:tcW w:w="5647" w:type="dxa"/>
            <w:vAlign w:val="center"/>
          </w:tcPr>
          <w:p w14:paraId="220A50F4" w14:textId="0D42C6F8" w:rsidR="0037742A" w:rsidRPr="00053E6D" w:rsidRDefault="0060450C" w:rsidP="00B01D4E">
            <w:pPr>
              <w:spacing w:after="0" w:line="240" w:lineRule="auto"/>
              <w:jc w:val="both"/>
              <w:rPr>
                <w:rFonts w:asciiTheme="majorHAnsi" w:hAnsiTheme="majorHAnsi"/>
                <w:bCs/>
                <w:sz w:val="20"/>
                <w:szCs w:val="20"/>
              </w:rPr>
            </w:pPr>
            <w:r>
              <w:rPr>
                <w:rFonts w:asciiTheme="majorHAnsi" w:hAnsiTheme="majorHAnsi"/>
                <w:bCs/>
                <w:sz w:val="20"/>
                <w:szCs w:val="20"/>
              </w:rPr>
              <w:t>Manuel Enrique Leiva Oliva</w:t>
            </w:r>
          </w:p>
        </w:tc>
      </w:tr>
      <w:tr w:rsidR="0037742A" w:rsidRPr="0031297A" w14:paraId="6CC40372" w14:textId="77777777" w:rsidTr="007B2295">
        <w:tc>
          <w:tcPr>
            <w:tcW w:w="3600" w:type="dxa"/>
            <w:shd w:val="clear" w:color="auto" w:fill="386294"/>
            <w:vAlign w:val="center"/>
          </w:tcPr>
          <w:p w14:paraId="58147C92" w14:textId="77777777" w:rsidR="0037742A" w:rsidRPr="006276BB" w:rsidRDefault="0037742A" w:rsidP="00B01D4E">
            <w:pPr>
              <w:spacing w:after="0" w:line="240" w:lineRule="auto"/>
              <w:jc w:val="center"/>
              <w:rPr>
                <w:rFonts w:asciiTheme="majorHAnsi" w:hAnsiTheme="majorHAnsi"/>
                <w:b/>
                <w:bCs/>
                <w:color w:val="FFFFFF"/>
                <w:sz w:val="20"/>
                <w:szCs w:val="20"/>
              </w:rPr>
            </w:pPr>
            <w:r w:rsidRPr="006276BB">
              <w:rPr>
                <w:rFonts w:asciiTheme="majorHAnsi" w:hAnsiTheme="majorHAnsi"/>
                <w:b/>
                <w:bCs/>
                <w:color w:val="FFFFFF"/>
                <w:sz w:val="20"/>
                <w:szCs w:val="20"/>
              </w:rPr>
              <w:t>Estado denunciado:</w:t>
            </w:r>
          </w:p>
        </w:tc>
        <w:tc>
          <w:tcPr>
            <w:tcW w:w="5647" w:type="dxa"/>
            <w:vAlign w:val="center"/>
          </w:tcPr>
          <w:p w14:paraId="24FBD917" w14:textId="622009C6" w:rsidR="0037742A" w:rsidRPr="006276BB" w:rsidRDefault="00053E6D" w:rsidP="00B01D4E">
            <w:pPr>
              <w:spacing w:after="0" w:line="240" w:lineRule="auto"/>
              <w:jc w:val="both"/>
              <w:rPr>
                <w:rFonts w:asciiTheme="majorHAnsi" w:hAnsiTheme="majorHAnsi"/>
                <w:bCs/>
                <w:sz w:val="20"/>
                <w:szCs w:val="20"/>
              </w:rPr>
            </w:pPr>
            <w:r>
              <w:rPr>
                <w:rFonts w:asciiTheme="majorHAnsi" w:hAnsiTheme="majorHAnsi"/>
                <w:bCs/>
                <w:sz w:val="20"/>
                <w:szCs w:val="20"/>
              </w:rPr>
              <w:t>H</w:t>
            </w:r>
            <w:r w:rsidR="00F176D6">
              <w:rPr>
                <w:rFonts w:asciiTheme="majorHAnsi" w:hAnsiTheme="majorHAnsi"/>
                <w:bCs/>
                <w:sz w:val="20"/>
                <w:szCs w:val="20"/>
              </w:rPr>
              <w:t>onduras</w:t>
            </w:r>
          </w:p>
        </w:tc>
      </w:tr>
      <w:tr w:rsidR="0037742A" w:rsidRPr="00D12290" w14:paraId="46D170F3" w14:textId="77777777" w:rsidTr="007B2295">
        <w:trPr>
          <w:trHeight w:val="1002"/>
        </w:trPr>
        <w:tc>
          <w:tcPr>
            <w:tcW w:w="3600" w:type="dxa"/>
            <w:tcBorders>
              <w:bottom w:val="single" w:sz="4" w:space="0" w:color="auto"/>
            </w:tcBorders>
            <w:shd w:val="clear" w:color="auto" w:fill="386294"/>
            <w:vAlign w:val="center"/>
          </w:tcPr>
          <w:p w14:paraId="36C5202E" w14:textId="77777777" w:rsidR="0037742A" w:rsidRPr="006276BB" w:rsidRDefault="0037742A" w:rsidP="00B01D4E">
            <w:pPr>
              <w:spacing w:after="0" w:line="240" w:lineRule="auto"/>
              <w:jc w:val="center"/>
              <w:rPr>
                <w:rFonts w:asciiTheme="majorHAnsi" w:hAnsiTheme="majorHAnsi"/>
                <w:b/>
                <w:bCs/>
                <w:color w:val="FFFFFF"/>
                <w:sz w:val="20"/>
                <w:szCs w:val="20"/>
              </w:rPr>
            </w:pPr>
            <w:r w:rsidRPr="006276BB">
              <w:rPr>
                <w:rFonts w:asciiTheme="majorHAnsi" w:hAnsiTheme="majorHAnsi"/>
                <w:b/>
                <w:bCs/>
                <w:color w:val="FFFFFF"/>
                <w:sz w:val="20"/>
                <w:szCs w:val="20"/>
              </w:rPr>
              <w:t>Derechos invocados:</w:t>
            </w:r>
          </w:p>
        </w:tc>
        <w:tc>
          <w:tcPr>
            <w:tcW w:w="5647" w:type="dxa"/>
            <w:tcBorders>
              <w:bottom w:val="single" w:sz="4" w:space="0" w:color="auto"/>
            </w:tcBorders>
            <w:vAlign w:val="center"/>
          </w:tcPr>
          <w:p w14:paraId="4370509D" w14:textId="0F3FD2E8" w:rsidR="0037742A" w:rsidRPr="006276BB" w:rsidRDefault="0037742A" w:rsidP="00B01D4E">
            <w:pPr>
              <w:autoSpaceDE w:val="0"/>
              <w:autoSpaceDN w:val="0"/>
              <w:adjustRightInd w:val="0"/>
              <w:spacing w:after="0" w:line="240" w:lineRule="auto"/>
              <w:jc w:val="both"/>
              <w:rPr>
                <w:rFonts w:asciiTheme="majorHAnsi" w:hAnsiTheme="majorHAnsi" w:cs="Cambria"/>
                <w:sz w:val="20"/>
                <w:szCs w:val="20"/>
                <w:lang w:val="es-VE" w:eastAsia="es-ES"/>
              </w:rPr>
            </w:pPr>
            <w:r w:rsidRPr="006276BB">
              <w:rPr>
                <w:rFonts w:asciiTheme="majorHAnsi" w:hAnsiTheme="majorHAnsi"/>
                <w:bCs/>
                <w:sz w:val="20"/>
                <w:szCs w:val="20"/>
                <w:lang w:val="es-VE"/>
              </w:rPr>
              <w:t>Artί</w:t>
            </w:r>
            <w:r w:rsidR="00053E6D">
              <w:rPr>
                <w:rFonts w:asciiTheme="majorHAnsi" w:hAnsiTheme="majorHAnsi"/>
                <w:bCs/>
                <w:sz w:val="20"/>
                <w:szCs w:val="20"/>
                <w:lang w:val="es-VE"/>
              </w:rPr>
              <w:t>culo</w:t>
            </w:r>
            <w:r w:rsidRPr="006276BB">
              <w:rPr>
                <w:rFonts w:asciiTheme="majorHAnsi" w:hAnsiTheme="majorHAnsi"/>
                <w:bCs/>
                <w:sz w:val="20"/>
                <w:szCs w:val="20"/>
                <w:lang w:val="es-VE"/>
              </w:rPr>
              <w:t xml:space="preserve"> </w:t>
            </w:r>
            <w:r w:rsidR="0060450C">
              <w:rPr>
                <w:rFonts w:asciiTheme="majorHAnsi" w:hAnsiTheme="majorHAnsi" w:cs="Arial"/>
                <w:sz w:val="20"/>
                <w:szCs w:val="20"/>
                <w:lang w:val="es-VE" w:eastAsia="es-ES"/>
              </w:rPr>
              <w:t>25</w:t>
            </w:r>
            <w:r w:rsidR="006220A8" w:rsidRPr="006276BB">
              <w:rPr>
                <w:rFonts w:asciiTheme="majorHAnsi" w:hAnsiTheme="majorHAnsi" w:cs="Arial"/>
                <w:sz w:val="20"/>
                <w:szCs w:val="20"/>
                <w:lang w:val="es-VE" w:eastAsia="es-ES"/>
              </w:rPr>
              <w:t xml:space="preserve"> (</w:t>
            </w:r>
            <w:r w:rsidR="0060450C">
              <w:rPr>
                <w:rFonts w:asciiTheme="majorHAnsi" w:hAnsiTheme="majorHAnsi" w:cs="Arial"/>
                <w:sz w:val="20"/>
                <w:szCs w:val="20"/>
                <w:lang w:val="es-VE" w:eastAsia="es-ES"/>
              </w:rPr>
              <w:t>protección judicial</w:t>
            </w:r>
            <w:r w:rsidR="00053E6D">
              <w:rPr>
                <w:rFonts w:asciiTheme="majorHAnsi" w:hAnsiTheme="majorHAnsi" w:cs="Arial"/>
                <w:sz w:val="20"/>
                <w:szCs w:val="20"/>
                <w:lang w:eastAsia="es-ES"/>
              </w:rPr>
              <w:t>)</w:t>
            </w:r>
            <w:r w:rsidR="006220A8" w:rsidRPr="006276BB">
              <w:rPr>
                <w:rFonts w:asciiTheme="majorHAnsi" w:hAnsiTheme="majorHAnsi" w:cs="Arial"/>
                <w:sz w:val="20"/>
                <w:szCs w:val="20"/>
                <w:lang w:eastAsia="es-ES"/>
              </w:rPr>
              <w:t xml:space="preserve"> </w:t>
            </w:r>
            <w:r w:rsidRPr="006276BB">
              <w:rPr>
                <w:rFonts w:asciiTheme="majorHAnsi" w:hAnsiTheme="majorHAnsi"/>
                <w:bCs/>
                <w:sz w:val="20"/>
                <w:szCs w:val="20"/>
                <w:lang w:val="es-VE"/>
              </w:rPr>
              <w:t>de la Convenciόn Americana sobre Derechos Humanos</w:t>
            </w:r>
            <w:r w:rsidRPr="006276BB">
              <w:rPr>
                <w:rStyle w:val="FootnoteReference"/>
                <w:rFonts w:asciiTheme="majorHAnsi" w:hAnsiTheme="majorHAnsi"/>
                <w:bCs/>
                <w:sz w:val="20"/>
                <w:szCs w:val="20"/>
                <w:lang w:val="es-VE"/>
              </w:rPr>
              <w:footnoteReference w:id="2"/>
            </w:r>
            <w:r w:rsidR="0060450C">
              <w:rPr>
                <w:rFonts w:asciiTheme="majorHAnsi" w:hAnsiTheme="majorHAnsi"/>
                <w:bCs/>
                <w:sz w:val="20"/>
                <w:szCs w:val="20"/>
                <w:lang w:val="es-VE"/>
              </w:rPr>
              <w:t>; a</w:t>
            </w:r>
            <w:r w:rsidR="00053E6D">
              <w:rPr>
                <w:rFonts w:asciiTheme="majorHAnsi" w:hAnsiTheme="majorHAnsi"/>
                <w:bCs/>
                <w:sz w:val="20"/>
                <w:szCs w:val="20"/>
                <w:lang w:val="es-VE"/>
              </w:rPr>
              <w:t>rtículo</w:t>
            </w:r>
            <w:r w:rsidR="0060450C">
              <w:rPr>
                <w:rFonts w:asciiTheme="majorHAnsi" w:hAnsiTheme="majorHAnsi"/>
                <w:bCs/>
                <w:sz w:val="20"/>
                <w:szCs w:val="20"/>
                <w:lang w:val="es-VE"/>
              </w:rPr>
              <w:t>s</w:t>
            </w:r>
            <w:r w:rsidR="00053E6D">
              <w:rPr>
                <w:rFonts w:asciiTheme="majorHAnsi" w:hAnsiTheme="majorHAnsi"/>
                <w:bCs/>
                <w:sz w:val="20"/>
                <w:szCs w:val="20"/>
                <w:lang w:val="es-VE"/>
              </w:rPr>
              <w:t xml:space="preserve"> </w:t>
            </w:r>
            <w:r w:rsidR="0060450C">
              <w:rPr>
                <w:rFonts w:asciiTheme="majorHAnsi" w:hAnsiTheme="majorHAnsi"/>
                <w:bCs/>
                <w:sz w:val="20"/>
                <w:szCs w:val="20"/>
                <w:lang w:val="es-VE"/>
              </w:rPr>
              <w:t>6</w:t>
            </w:r>
            <w:r w:rsidR="00053E6D">
              <w:rPr>
                <w:rFonts w:asciiTheme="majorHAnsi" w:hAnsiTheme="majorHAnsi"/>
                <w:bCs/>
                <w:sz w:val="20"/>
                <w:szCs w:val="20"/>
                <w:lang w:val="es-VE"/>
              </w:rPr>
              <w:t xml:space="preserve"> (</w:t>
            </w:r>
            <w:r w:rsidR="0060450C">
              <w:rPr>
                <w:rFonts w:asciiTheme="majorHAnsi" w:hAnsiTheme="majorHAnsi"/>
                <w:bCs/>
                <w:sz w:val="20"/>
                <w:szCs w:val="20"/>
                <w:lang w:val="es-VE"/>
              </w:rPr>
              <w:t>trabajo</w:t>
            </w:r>
            <w:r w:rsidR="00053E6D">
              <w:rPr>
                <w:rFonts w:asciiTheme="majorHAnsi" w:hAnsiTheme="majorHAnsi"/>
                <w:bCs/>
                <w:sz w:val="20"/>
                <w:szCs w:val="20"/>
                <w:lang w:val="es-VE"/>
              </w:rPr>
              <w:t xml:space="preserve">) </w:t>
            </w:r>
            <w:r w:rsidR="0060450C">
              <w:rPr>
                <w:rFonts w:asciiTheme="majorHAnsi" w:hAnsiTheme="majorHAnsi"/>
                <w:bCs/>
                <w:sz w:val="20"/>
                <w:szCs w:val="20"/>
                <w:lang w:val="es-VE"/>
              </w:rPr>
              <w:t xml:space="preserve">y 7 (condiciones justas equitativas y satisfactorias de trabajo) </w:t>
            </w:r>
            <w:r w:rsidR="00053E6D">
              <w:rPr>
                <w:rFonts w:asciiTheme="majorHAnsi" w:hAnsiTheme="majorHAnsi"/>
                <w:bCs/>
                <w:sz w:val="20"/>
                <w:szCs w:val="20"/>
                <w:lang w:val="es-VE"/>
              </w:rPr>
              <w:t xml:space="preserve">del Protocolo Adicional a la Convención Americana Sobre Derechos Humanos en Materia de Derechos Económicos, Sociales y Culturales </w:t>
            </w:r>
            <w:r w:rsidR="003E036D">
              <w:rPr>
                <w:rFonts w:asciiTheme="majorHAnsi" w:hAnsiTheme="majorHAnsi"/>
                <w:bCs/>
                <w:sz w:val="20"/>
                <w:szCs w:val="20"/>
                <w:lang w:val="es-VE"/>
              </w:rPr>
              <w:t>(</w:t>
            </w:r>
            <w:r w:rsidR="00053E6D">
              <w:rPr>
                <w:rFonts w:asciiTheme="majorHAnsi" w:hAnsiTheme="majorHAnsi"/>
                <w:bCs/>
                <w:sz w:val="20"/>
                <w:szCs w:val="20"/>
                <w:lang w:val="es-VE"/>
              </w:rPr>
              <w:t>“Protocolo de San Salvador”</w:t>
            </w:r>
            <w:r w:rsidR="003E036D">
              <w:rPr>
                <w:rFonts w:asciiTheme="majorHAnsi" w:hAnsiTheme="majorHAnsi"/>
                <w:bCs/>
                <w:sz w:val="20"/>
                <w:szCs w:val="20"/>
                <w:lang w:val="es-VE"/>
              </w:rPr>
              <w:t>)</w:t>
            </w:r>
            <w:r w:rsidR="00E755D9">
              <w:rPr>
                <w:rFonts w:asciiTheme="majorHAnsi" w:hAnsiTheme="majorHAnsi"/>
                <w:bCs/>
                <w:sz w:val="20"/>
                <w:szCs w:val="20"/>
                <w:lang w:val="es-VE"/>
              </w:rPr>
              <w:t>;</w:t>
            </w:r>
            <w:r w:rsidR="0060450C">
              <w:rPr>
                <w:rFonts w:asciiTheme="majorHAnsi" w:hAnsiTheme="majorHAnsi"/>
                <w:bCs/>
                <w:sz w:val="20"/>
                <w:szCs w:val="20"/>
                <w:lang w:val="es-VE"/>
              </w:rPr>
              <w:t xml:space="preserve"> y otros instrumentos internacionales</w:t>
            </w:r>
            <w:r w:rsidR="00E755D9" w:rsidRPr="006276BB">
              <w:rPr>
                <w:rStyle w:val="FootnoteReference"/>
                <w:rFonts w:asciiTheme="majorHAnsi" w:hAnsiTheme="majorHAnsi"/>
                <w:bCs/>
                <w:sz w:val="20"/>
                <w:szCs w:val="20"/>
                <w:lang w:val="es-VE"/>
              </w:rPr>
              <w:footnoteReference w:id="3"/>
            </w:r>
          </w:p>
        </w:tc>
      </w:tr>
    </w:tbl>
    <w:p w14:paraId="36FD7898" w14:textId="77777777" w:rsidR="00B01D4E" w:rsidRDefault="00B01D4E" w:rsidP="00B01D4E">
      <w:pPr>
        <w:spacing w:after="0" w:line="240" w:lineRule="auto"/>
        <w:ind w:firstLine="720"/>
        <w:jc w:val="both"/>
        <w:rPr>
          <w:rFonts w:asciiTheme="majorHAnsi" w:hAnsiTheme="majorHAnsi"/>
          <w:b/>
          <w:bCs/>
          <w:sz w:val="20"/>
          <w:szCs w:val="20"/>
          <w:lang w:val="es-ES"/>
        </w:rPr>
      </w:pPr>
    </w:p>
    <w:p w14:paraId="6BE6F2EA" w14:textId="2C59F3B2" w:rsidR="0037742A" w:rsidRPr="00B01D4E" w:rsidRDefault="0037742A" w:rsidP="00B01D4E">
      <w:pPr>
        <w:pStyle w:val="ListParagraph"/>
        <w:numPr>
          <w:ilvl w:val="0"/>
          <w:numId w:val="64"/>
        </w:numPr>
        <w:spacing w:after="0" w:line="240" w:lineRule="auto"/>
        <w:jc w:val="both"/>
        <w:rPr>
          <w:rFonts w:asciiTheme="majorHAnsi" w:hAnsiTheme="majorHAnsi"/>
          <w:b/>
          <w:bCs/>
          <w:sz w:val="20"/>
          <w:szCs w:val="20"/>
          <w:lang w:val="es-ES"/>
        </w:rPr>
      </w:pPr>
      <w:r w:rsidRPr="00B01D4E">
        <w:rPr>
          <w:rFonts w:asciiTheme="majorHAnsi" w:hAnsiTheme="majorHAnsi"/>
          <w:b/>
          <w:bCs/>
          <w:sz w:val="20"/>
          <w:szCs w:val="20"/>
          <w:lang w:val="es-ES"/>
        </w:rPr>
        <w:t>TRÁMITE ANTE LA CIDH</w:t>
      </w:r>
      <w:r w:rsidRPr="00B01D4E">
        <w:rPr>
          <w:rStyle w:val="FootnoteReference"/>
          <w:rFonts w:asciiTheme="majorHAnsi" w:hAnsiTheme="majorHAnsi"/>
          <w:bCs/>
          <w:sz w:val="20"/>
          <w:szCs w:val="20"/>
        </w:rPr>
        <w:footnoteReference w:id="4"/>
      </w:r>
    </w:p>
    <w:p w14:paraId="60FEDC65" w14:textId="56F5C5A7" w:rsidR="00B01D4E" w:rsidRPr="00B01D4E" w:rsidRDefault="00B01D4E" w:rsidP="00B01D4E">
      <w:pPr>
        <w:spacing w:after="0" w:line="240" w:lineRule="auto"/>
        <w:ind w:left="720"/>
        <w:jc w:val="both"/>
        <w:rPr>
          <w:rFonts w:asciiTheme="majorHAnsi" w:hAnsiTheme="majorHAnsi"/>
          <w:b/>
          <w:bCs/>
          <w:sz w:val="20"/>
          <w:szCs w:val="20"/>
          <w:lang w:val="es-ES"/>
        </w:rPr>
      </w:pPr>
    </w:p>
    <w:tbl>
      <w:tblPr>
        <w:tblW w:w="924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647"/>
      </w:tblGrid>
      <w:tr w:rsidR="0037742A" w:rsidRPr="002E39B1" w14:paraId="48622CAF" w14:textId="77777777" w:rsidTr="007B2295">
        <w:tc>
          <w:tcPr>
            <w:tcW w:w="3600" w:type="dxa"/>
            <w:tcBorders>
              <w:top w:val="single" w:sz="4" w:space="0" w:color="auto"/>
            </w:tcBorders>
            <w:shd w:val="clear" w:color="auto" w:fill="386294"/>
            <w:vAlign w:val="center"/>
          </w:tcPr>
          <w:p w14:paraId="1601F6A4" w14:textId="77777777" w:rsidR="0037742A" w:rsidRPr="006276BB" w:rsidRDefault="0037742A" w:rsidP="00B01D4E">
            <w:pPr>
              <w:spacing w:after="0" w:line="240" w:lineRule="auto"/>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Presentación de la petición:</w:t>
            </w:r>
          </w:p>
        </w:tc>
        <w:tc>
          <w:tcPr>
            <w:tcW w:w="5647" w:type="dxa"/>
            <w:tcBorders>
              <w:top w:val="single" w:sz="4" w:space="0" w:color="auto"/>
            </w:tcBorders>
            <w:vAlign w:val="center"/>
          </w:tcPr>
          <w:p w14:paraId="645FC053" w14:textId="6E5C3DA6" w:rsidR="0037742A" w:rsidRPr="006276BB" w:rsidRDefault="0060450C" w:rsidP="00B01D4E">
            <w:pPr>
              <w:spacing w:after="0" w:line="240" w:lineRule="auto"/>
              <w:jc w:val="both"/>
              <w:rPr>
                <w:rFonts w:asciiTheme="majorHAnsi" w:hAnsiTheme="majorHAnsi"/>
                <w:bCs/>
                <w:sz w:val="20"/>
                <w:szCs w:val="20"/>
                <w:lang w:val="es-ES"/>
              </w:rPr>
            </w:pPr>
            <w:r>
              <w:rPr>
                <w:rFonts w:asciiTheme="majorHAnsi" w:hAnsiTheme="majorHAnsi"/>
                <w:bCs/>
                <w:sz w:val="20"/>
                <w:szCs w:val="20"/>
                <w:lang w:val="es-ES"/>
              </w:rPr>
              <w:t>7 de marzo de 2014</w:t>
            </w:r>
          </w:p>
        </w:tc>
      </w:tr>
      <w:tr w:rsidR="007C1D55" w:rsidRPr="00D12290" w14:paraId="7344EB70" w14:textId="77777777" w:rsidTr="007B2295">
        <w:tc>
          <w:tcPr>
            <w:tcW w:w="3600" w:type="dxa"/>
            <w:shd w:val="clear" w:color="auto" w:fill="386294"/>
            <w:vAlign w:val="center"/>
          </w:tcPr>
          <w:p w14:paraId="79590B10" w14:textId="77777777" w:rsidR="007C1D55" w:rsidRPr="006276BB" w:rsidRDefault="007C1D55" w:rsidP="00B01D4E">
            <w:pPr>
              <w:spacing w:after="0" w:line="240" w:lineRule="auto"/>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Información adicional recibida durante la etapa de estudio:</w:t>
            </w:r>
          </w:p>
        </w:tc>
        <w:tc>
          <w:tcPr>
            <w:tcW w:w="5647" w:type="dxa"/>
            <w:vAlign w:val="center"/>
          </w:tcPr>
          <w:p w14:paraId="680A6EAE" w14:textId="774FF72C" w:rsidR="007C1D55" w:rsidRPr="006276BB" w:rsidRDefault="00B74887" w:rsidP="00B01D4E">
            <w:pPr>
              <w:spacing w:after="0" w:line="240" w:lineRule="auto"/>
              <w:rPr>
                <w:rFonts w:asciiTheme="majorHAnsi" w:hAnsiTheme="majorHAnsi"/>
                <w:bCs/>
                <w:sz w:val="20"/>
                <w:szCs w:val="20"/>
                <w:lang w:val="es-AR"/>
              </w:rPr>
            </w:pPr>
            <w:r>
              <w:rPr>
                <w:rFonts w:asciiTheme="majorHAnsi" w:hAnsiTheme="majorHAnsi"/>
                <w:bCs/>
                <w:sz w:val="20"/>
                <w:szCs w:val="20"/>
              </w:rPr>
              <w:t>19 de marzo de 2014;</w:t>
            </w:r>
            <w:r w:rsidR="0060450C">
              <w:rPr>
                <w:rFonts w:asciiTheme="majorHAnsi" w:hAnsiTheme="majorHAnsi"/>
                <w:bCs/>
                <w:sz w:val="20"/>
                <w:szCs w:val="20"/>
              </w:rPr>
              <w:t xml:space="preserve"> 6 de julio de 2015</w:t>
            </w:r>
            <w:r>
              <w:rPr>
                <w:rFonts w:asciiTheme="majorHAnsi" w:hAnsiTheme="majorHAnsi"/>
                <w:bCs/>
                <w:sz w:val="20"/>
                <w:szCs w:val="20"/>
              </w:rPr>
              <w:t xml:space="preserve">; 12, 17, 22 y 23 </w:t>
            </w:r>
            <w:r w:rsidR="0060450C">
              <w:rPr>
                <w:rFonts w:asciiTheme="majorHAnsi" w:hAnsiTheme="majorHAnsi"/>
                <w:bCs/>
                <w:sz w:val="20"/>
                <w:szCs w:val="20"/>
              </w:rPr>
              <w:t>de agosto</w:t>
            </w:r>
            <w:r>
              <w:rPr>
                <w:rFonts w:asciiTheme="majorHAnsi" w:hAnsiTheme="majorHAnsi"/>
                <w:bCs/>
                <w:sz w:val="20"/>
                <w:szCs w:val="20"/>
              </w:rPr>
              <w:t>: 2 y 21 de diciembre</w:t>
            </w:r>
            <w:r w:rsidR="0060450C">
              <w:rPr>
                <w:rFonts w:asciiTheme="majorHAnsi" w:hAnsiTheme="majorHAnsi"/>
                <w:bCs/>
                <w:sz w:val="20"/>
                <w:szCs w:val="20"/>
              </w:rPr>
              <w:t xml:space="preserve"> de 2016</w:t>
            </w:r>
            <w:r>
              <w:rPr>
                <w:rFonts w:asciiTheme="majorHAnsi" w:hAnsiTheme="majorHAnsi"/>
                <w:bCs/>
                <w:sz w:val="20"/>
                <w:szCs w:val="20"/>
              </w:rPr>
              <w:t xml:space="preserve">; y 10 de </w:t>
            </w:r>
            <w:r w:rsidR="006C2CFC">
              <w:rPr>
                <w:rFonts w:asciiTheme="majorHAnsi" w:hAnsiTheme="majorHAnsi"/>
                <w:bCs/>
                <w:sz w:val="20"/>
                <w:szCs w:val="20"/>
              </w:rPr>
              <w:t>febrero, 5</w:t>
            </w:r>
            <w:r>
              <w:rPr>
                <w:rFonts w:asciiTheme="majorHAnsi" w:hAnsiTheme="majorHAnsi"/>
                <w:bCs/>
                <w:sz w:val="20"/>
                <w:szCs w:val="20"/>
              </w:rPr>
              <w:t xml:space="preserve"> de junio, 5 de </w:t>
            </w:r>
            <w:r w:rsidR="006C2CFC">
              <w:rPr>
                <w:rFonts w:asciiTheme="majorHAnsi" w:hAnsiTheme="majorHAnsi"/>
                <w:bCs/>
                <w:sz w:val="20"/>
                <w:szCs w:val="20"/>
              </w:rPr>
              <w:t>julio y</w:t>
            </w:r>
            <w:r>
              <w:rPr>
                <w:rFonts w:asciiTheme="majorHAnsi" w:hAnsiTheme="majorHAnsi"/>
                <w:bCs/>
                <w:sz w:val="20"/>
                <w:szCs w:val="20"/>
              </w:rPr>
              <w:t xml:space="preserve"> 21 de noviembre de 2017; 21 de diciembre de 2018; </w:t>
            </w:r>
            <w:r w:rsidR="004B56A5">
              <w:rPr>
                <w:rFonts w:asciiTheme="majorHAnsi" w:hAnsiTheme="majorHAnsi"/>
                <w:bCs/>
                <w:sz w:val="20"/>
                <w:szCs w:val="20"/>
              </w:rPr>
              <w:t xml:space="preserve">y </w:t>
            </w:r>
            <w:r>
              <w:rPr>
                <w:rFonts w:asciiTheme="majorHAnsi" w:hAnsiTheme="majorHAnsi"/>
                <w:bCs/>
                <w:sz w:val="20"/>
                <w:szCs w:val="20"/>
              </w:rPr>
              <w:t>1 y 7 de marzo de 2019</w:t>
            </w:r>
          </w:p>
        </w:tc>
      </w:tr>
      <w:tr w:rsidR="007C1D55" w:rsidRPr="0031297A" w14:paraId="1907A94F" w14:textId="77777777" w:rsidTr="007B2295">
        <w:tc>
          <w:tcPr>
            <w:tcW w:w="3600" w:type="dxa"/>
            <w:shd w:val="clear" w:color="auto" w:fill="386294"/>
            <w:vAlign w:val="center"/>
          </w:tcPr>
          <w:p w14:paraId="36092CE9" w14:textId="77777777" w:rsidR="007C1D55" w:rsidRPr="006276BB" w:rsidRDefault="007C1D55" w:rsidP="00B01D4E">
            <w:pPr>
              <w:spacing w:after="0" w:line="240" w:lineRule="auto"/>
              <w:jc w:val="center"/>
              <w:rPr>
                <w:rFonts w:asciiTheme="majorHAnsi" w:hAnsiTheme="majorHAnsi"/>
                <w:b/>
                <w:bCs/>
                <w:color w:val="FFFFFF"/>
                <w:sz w:val="20"/>
                <w:szCs w:val="20"/>
                <w:lang w:val="es-ES"/>
              </w:rPr>
            </w:pPr>
            <w:r w:rsidRPr="006276BB">
              <w:rPr>
                <w:rFonts w:asciiTheme="majorHAnsi" w:hAnsiTheme="majorHAnsi"/>
                <w:b/>
                <w:color w:val="FFFFFF"/>
                <w:sz w:val="20"/>
                <w:szCs w:val="20"/>
                <w:lang w:val="es-ES"/>
              </w:rPr>
              <w:t>Notificación de la petición</w:t>
            </w:r>
          </w:p>
        </w:tc>
        <w:tc>
          <w:tcPr>
            <w:tcW w:w="5647" w:type="dxa"/>
            <w:vAlign w:val="center"/>
          </w:tcPr>
          <w:p w14:paraId="190CBEFD" w14:textId="4104DBFA" w:rsidR="007C1D55" w:rsidRPr="006276BB" w:rsidRDefault="00B74887" w:rsidP="00B01D4E">
            <w:pPr>
              <w:spacing w:after="0" w:line="240" w:lineRule="auto"/>
              <w:jc w:val="both"/>
              <w:rPr>
                <w:rFonts w:asciiTheme="majorHAnsi" w:hAnsiTheme="majorHAnsi"/>
                <w:bCs/>
                <w:sz w:val="20"/>
                <w:szCs w:val="20"/>
                <w:lang w:val="es-ES"/>
              </w:rPr>
            </w:pPr>
            <w:r>
              <w:rPr>
                <w:rFonts w:asciiTheme="majorHAnsi" w:hAnsiTheme="majorHAnsi"/>
                <w:bCs/>
                <w:sz w:val="20"/>
                <w:szCs w:val="20"/>
                <w:lang w:val="es-ES"/>
              </w:rPr>
              <w:t>18 de marzo de 2019</w:t>
            </w:r>
          </w:p>
        </w:tc>
      </w:tr>
      <w:tr w:rsidR="007C1D55" w:rsidRPr="0031297A" w14:paraId="1E1E848E" w14:textId="77777777" w:rsidTr="007B2295">
        <w:tc>
          <w:tcPr>
            <w:tcW w:w="3600" w:type="dxa"/>
            <w:shd w:val="clear" w:color="auto" w:fill="386294"/>
            <w:vAlign w:val="center"/>
          </w:tcPr>
          <w:p w14:paraId="55F6F46B" w14:textId="77777777" w:rsidR="007C1D55" w:rsidRPr="006276BB" w:rsidRDefault="007C1D55" w:rsidP="00B01D4E">
            <w:pPr>
              <w:spacing w:after="0" w:line="240" w:lineRule="auto"/>
              <w:jc w:val="center"/>
              <w:rPr>
                <w:rFonts w:asciiTheme="majorHAnsi" w:hAnsiTheme="majorHAnsi"/>
                <w:b/>
                <w:bCs/>
                <w:color w:val="FFFFFF"/>
                <w:sz w:val="20"/>
                <w:szCs w:val="20"/>
                <w:lang w:val="es-ES"/>
              </w:rPr>
            </w:pPr>
            <w:r w:rsidRPr="006276BB">
              <w:rPr>
                <w:rFonts w:asciiTheme="majorHAnsi" w:hAnsiTheme="majorHAnsi"/>
                <w:b/>
                <w:color w:val="FFFFFF"/>
                <w:sz w:val="20"/>
                <w:szCs w:val="20"/>
                <w:lang w:val="es-ES"/>
              </w:rPr>
              <w:t>Primera respuesta del Estado:</w:t>
            </w:r>
          </w:p>
        </w:tc>
        <w:tc>
          <w:tcPr>
            <w:tcW w:w="5647" w:type="dxa"/>
            <w:vAlign w:val="center"/>
          </w:tcPr>
          <w:p w14:paraId="7E0B99F7" w14:textId="543983DC" w:rsidR="007C1D55" w:rsidRPr="006276BB" w:rsidRDefault="004C3DAE" w:rsidP="00B01D4E">
            <w:pPr>
              <w:spacing w:after="0" w:line="240" w:lineRule="auto"/>
              <w:jc w:val="both"/>
              <w:rPr>
                <w:rFonts w:asciiTheme="majorHAnsi" w:hAnsiTheme="majorHAnsi"/>
                <w:bCs/>
                <w:sz w:val="20"/>
                <w:szCs w:val="20"/>
                <w:lang w:val="es-ES"/>
              </w:rPr>
            </w:pPr>
            <w:r>
              <w:rPr>
                <w:rFonts w:asciiTheme="majorHAnsi" w:hAnsiTheme="majorHAnsi"/>
                <w:bCs/>
                <w:sz w:val="20"/>
                <w:szCs w:val="20"/>
                <w:lang w:val="es-ES"/>
              </w:rPr>
              <w:t>26 de septiembre de 2019</w:t>
            </w:r>
          </w:p>
        </w:tc>
      </w:tr>
      <w:tr w:rsidR="007C1D55" w:rsidRPr="00D12290" w14:paraId="026F2303" w14:textId="77777777" w:rsidTr="007B2295">
        <w:tc>
          <w:tcPr>
            <w:tcW w:w="3600" w:type="dxa"/>
            <w:shd w:val="clear" w:color="auto" w:fill="386294"/>
            <w:vAlign w:val="center"/>
          </w:tcPr>
          <w:p w14:paraId="13CFFDC0" w14:textId="77777777" w:rsidR="007C1D55" w:rsidRPr="006276BB" w:rsidRDefault="007C1D55" w:rsidP="00B01D4E">
            <w:pPr>
              <w:spacing w:after="0" w:line="240" w:lineRule="auto"/>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Observaciones adicionales de la parte peticionaria:</w:t>
            </w:r>
          </w:p>
        </w:tc>
        <w:tc>
          <w:tcPr>
            <w:tcW w:w="5647" w:type="dxa"/>
            <w:vAlign w:val="center"/>
          </w:tcPr>
          <w:p w14:paraId="2D467123" w14:textId="3B336E4B" w:rsidR="007C1D55" w:rsidRPr="006276BB" w:rsidRDefault="00B74887" w:rsidP="00B01D4E">
            <w:pPr>
              <w:spacing w:after="0" w:line="240" w:lineRule="auto"/>
              <w:jc w:val="both"/>
              <w:rPr>
                <w:rFonts w:asciiTheme="majorHAnsi" w:hAnsiTheme="majorHAnsi"/>
                <w:bCs/>
                <w:sz w:val="20"/>
                <w:szCs w:val="20"/>
                <w:lang w:val="es-ES"/>
              </w:rPr>
            </w:pPr>
            <w:r>
              <w:rPr>
                <w:rFonts w:asciiTheme="majorHAnsi" w:hAnsiTheme="majorHAnsi"/>
                <w:bCs/>
                <w:sz w:val="20"/>
                <w:szCs w:val="20"/>
                <w:lang w:val="es-ES"/>
              </w:rPr>
              <w:t>17 de mayo de 2019</w:t>
            </w:r>
            <w:r w:rsidR="004C3DAE">
              <w:rPr>
                <w:rFonts w:asciiTheme="majorHAnsi" w:hAnsiTheme="majorHAnsi"/>
                <w:bCs/>
                <w:sz w:val="20"/>
                <w:szCs w:val="20"/>
                <w:lang w:val="es-ES"/>
              </w:rPr>
              <w:t>, 13 de octubre de 2020</w:t>
            </w:r>
            <w:r w:rsidR="005E22EE">
              <w:rPr>
                <w:rFonts w:asciiTheme="majorHAnsi" w:hAnsiTheme="majorHAnsi"/>
                <w:bCs/>
                <w:sz w:val="20"/>
                <w:szCs w:val="20"/>
                <w:lang w:val="es-ES"/>
              </w:rPr>
              <w:t xml:space="preserve"> y </w:t>
            </w:r>
            <w:r w:rsidR="005E22EE" w:rsidRPr="003E036D">
              <w:rPr>
                <w:rFonts w:asciiTheme="majorHAnsi" w:hAnsiTheme="majorHAnsi"/>
                <w:bCs/>
                <w:sz w:val="20"/>
                <w:szCs w:val="20"/>
                <w:lang w:val="es-ES"/>
              </w:rPr>
              <w:t>25 de junio de 2021</w:t>
            </w:r>
          </w:p>
        </w:tc>
      </w:tr>
      <w:tr w:rsidR="007C1D55" w:rsidRPr="0060450C" w14:paraId="1735E165" w14:textId="77777777" w:rsidTr="007B2295">
        <w:tc>
          <w:tcPr>
            <w:tcW w:w="3600" w:type="dxa"/>
            <w:shd w:val="clear" w:color="auto" w:fill="386294"/>
            <w:vAlign w:val="center"/>
          </w:tcPr>
          <w:p w14:paraId="238AC7DB" w14:textId="73A1D51A" w:rsidR="007C1D55" w:rsidRPr="007C1D55" w:rsidRDefault="0082588E" w:rsidP="00B01D4E">
            <w:pPr>
              <w:spacing w:after="0" w:line="240" w:lineRule="auto"/>
              <w:jc w:val="center"/>
              <w:rPr>
                <w:rFonts w:asciiTheme="majorHAnsi" w:hAnsiTheme="majorHAnsi"/>
                <w:b/>
                <w:bCs/>
                <w:color w:val="FFFFFF"/>
                <w:sz w:val="20"/>
                <w:szCs w:val="20"/>
              </w:rPr>
            </w:pPr>
            <w:r>
              <w:rPr>
                <w:rFonts w:ascii="Cambria" w:hAnsi="Cambria"/>
                <w:b/>
                <w:bCs/>
                <w:color w:val="FFFFFF" w:themeColor="background1"/>
                <w:sz w:val="20"/>
                <w:szCs w:val="20"/>
                <w:lang w:val="es-ES"/>
              </w:rPr>
              <w:t>Observaciones adicionales del Estado:</w:t>
            </w:r>
          </w:p>
        </w:tc>
        <w:tc>
          <w:tcPr>
            <w:tcW w:w="5647" w:type="dxa"/>
            <w:vAlign w:val="center"/>
          </w:tcPr>
          <w:p w14:paraId="1E21F161" w14:textId="2A85BCAF" w:rsidR="007C1D55" w:rsidRDefault="004C3DAE" w:rsidP="00B01D4E">
            <w:pPr>
              <w:spacing w:after="0" w:line="240" w:lineRule="auto"/>
              <w:jc w:val="both"/>
              <w:rPr>
                <w:rFonts w:asciiTheme="majorHAnsi" w:hAnsiTheme="majorHAnsi"/>
                <w:bCs/>
                <w:sz w:val="20"/>
                <w:szCs w:val="20"/>
                <w:lang w:val="es-ES"/>
              </w:rPr>
            </w:pPr>
            <w:r>
              <w:rPr>
                <w:rFonts w:asciiTheme="majorHAnsi" w:hAnsiTheme="majorHAnsi"/>
                <w:bCs/>
                <w:sz w:val="20"/>
                <w:szCs w:val="20"/>
                <w:lang w:val="es-ES"/>
              </w:rPr>
              <w:t>19 de marzo de 2021</w:t>
            </w:r>
          </w:p>
        </w:tc>
      </w:tr>
    </w:tbl>
    <w:p w14:paraId="2AE5BCC7" w14:textId="77777777" w:rsidR="007B2295" w:rsidRDefault="007B2295" w:rsidP="00B01D4E">
      <w:pPr>
        <w:spacing w:after="0" w:line="240" w:lineRule="auto"/>
        <w:ind w:firstLine="720"/>
        <w:jc w:val="both"/>
        <w:rPr>
          <w:rFonts w:asciiTheme="majorHAnsi" w:hAnsiTheme="majorHAnsi"/>
          <w:b/>
          <w:bCs/>
          <w:sz w:val="20"/>
          <w:szCs w:val="20"/>
          <w:lang w:val="es-ES"/>
        </w:rPr>
      </w:pPr>
    </w:p>
    <w:p w14:paraId="4003F774" w14:textId="6F0E8D6A" w:rsidR="0037742A" w:rsidRPr="007B2295" w:rsidRDefault="0037742A" w:rsidP="007B2295">
      <w:pPr>
        <w:pStyle w:val="ListParagraph"/>
        <w:numPr>
          <w:ilvl w:val="0"/>
          <w:numId w:val="64"/>
        </w:numPr>
        <w:spacing w:after="0" w:line="240" w:lineRule="auto"/>
        <w:jc w:val="both"/>
        <w:rPr>
          <w:rFonts w:asciiTheme="majorHAnsi" w:hAnsiTheme="majorHAnsi"/>
          <w:b/>
          <w:bCs/>
          <w:sz w:val="20"/>
          <w:szCs w:val="20"/>
          <w:lang w:val="es-ES"/>
        </w:rPr>
      </w:pPr>
      <w:r w:rsidRPr="007B2295">
        <w:rPr>
          <w:rFonts w:asciiTheme="majorHAnsi" w:hAnsiTheme="majorHAnsi"/>
          <w:b/>
          <w:bCs/>
          <w:sz w:val="20"/>
          <w:szCs w:val="20"/>
          <w:lang w:val="es-ES"/>
        </w:rPr>
        <w:t xml:space="preserve">COMPETENCIA </w:t>
      </w:r>
    </w:p>
    <w:p w14:paraId="5A364554" w14:textId="77777777" w:rsidR="007B2295" w:rsidRPr="007B2295" w:rsidRDefault="007B2295" w:rsidP="007B2295">
      <w:pPr>
        <w:pStyle w:val="ListParagraph"/>
        <w:spacing w:after="0" w:line="240" w:lineRule="auto"/>
        <w:ind w:left="1440"/>
        <w:jc w:val="both"/>
        <w:rPr>
          <w:rFonts w:asciiTheme="majorHAnsi" w:hAnsiTheme="majorHAnsi"/>
          <w:b/>
          <w:bCs/>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37742A" w:rsidRPr="0031297A" w14:paraId="5CBEB33A" w14:textId="77777777" w:rsidTr="00365E52">
        <w:trPr>
          <w:cantSplit/>
        </w:trPr>
        <w:tc>
          <w:tcPr>
            <w:tcW w:w="3600" w:type="dxa"/>
            <w:tcBorders>
              <w:top w:val="single" w:sz="4" w:space="0" w:color="auto"/>
            </w:tcBorders>
            <w:shd w:val="clear" w:color="auto" w:fill="386294"/>
            <w:vAlign w:val="center"/>
          </w:tcPr>
          <w:p w14:paraId="7338FAF3" w14:textId="77777777" w:rsidR="0037742A" w:rsidRPr="006276BB" w:rsidRDefault="0037742A" w:rsidP="00B01D4E">
            <w:pPr>
              <w:spacing w:after="0" w:line="240" w:lineRule="auto"/>
              <w:jc w:val="center"/>
              <w:rPr>
                <w:rFonts w:asciiTheme="majorHAnsi" w:hAnsiTheme="majorHAnsi"/>
                <w:b/>
                <w:bCs/>
                <w:i/>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personae:</w:t>
            </w:r>
          </w:p>
        </w:tc>
        <w:tc>
          <w:tcPr>
            <w:tcW w:w="5760" w:type="dxa"/>
            <w:tcBorders>
              <w:top w:val="single" w:sz="4" w:space="0" w:color="auto"/>
            </w:tcBorders>
            <w:vAlign w:val="center"/>
          </w:tcPr>
          <w:p w14:paraId="6C002600" w14:textId="77777777" w:rsidR="0037742A" w:rsidRPr="006276BB" w:rsidRDefault="0037742A" w:rsidP="00B01D4E">
            <w:pPr>
              <w:spacing w:after="0" w:line="240" w:lineRule="auto"/>
              <w:rPr>
                <w:rFonts w:asciiTheme="majorHAnsi" w:hAnsiTheme="majorHAnsi"/>
                <w:bCs/>
                <w:sz w:val="20"/>
                <w:szCs w:val="20"/>
              </w:rPr>
            </w:pPr>
            <w:r w:rsidRPr="006276BB">
              <w:rPr>
                <w:rFonts w:asciiTheme="majorHAnsi" w:hAnsiTheme="majorHAnsi"/>
                <w:bCs/>
                <w:sz w:val="20"/>
                <w:szCs w:val="20"/>
              </w:rPr>
              <w:t>Sί</w:t>
            </w:r>
          </w:p>
        </w:tc>
      </w:tr>
      <w:tr w:rsidR="0037742A" w:rsidRPr="0031297A" w14:paraId="66D18382" w14:textId="77777777" w:rsidTr="00365E52">
        <w:trPr>
          <w:cantSplit/>
        </w:trPr>
        <w:tc>
          <w:tcPr>
            <w:tcW w:w="3600" w:type="dxa"/>
            <w:shd w:val="clear" w:color="auto" w:fill="386294"/>
            <w:vAlign w:val="center"/>
          </w:tcPr>
          <w:p w14:paraId="1AEEA133" w14:textId="77777777" w:rsidR="0037742A" w:rsidRPr="006276BB" w:rsidRDefault="0037742A" w:rsidP="00B01D4E">
            <w:pPr>
              <w:spacing w:after="0" w:line="240" w:lineRule="auto"/>
              <w:jc w:val="center"/>
              <w:rPr>
                <w:rFonts w:asciiTheme="majorHAnsi" w:hAnsiTheme="majorHAnsi"/>
                <w:b/>
                <w:bCs/>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loci</w:t>
            </w:r>
            <w:r w:rsidRPr="006276BB">
              <w:rPr>
                <w:rFonts w:asciiTheme="majorHAnsi" w:hAnsiTheme="majorHAnsi"/>
                <w:b/>
                <w:bCs/>
                <w:color w:val="FFFFFF"/>
                <w:sz w:val="20"/>
                <w:szCs w:val="20"/>
              </w:rPr>
              <w:t>:</w:t>
            </w:r>
          </w:p>
        </w:tc>
        <w:tc>
          <w:tcPr>
            <w:tcW w:w="5760" w:type="dxa"/>
            <w:vAlign w:val="center"/>
          </w:tcPr>
          <w:p w14:paraId="4FAACEEF" w14:textId="77777777" w:rsidR="0037742A" w:rsidRPr="006276BB" w:rsidRDefault="0037742A" w:rsidP="00B01D4E">
            <w:pPr>
              <w:spacing w:after="0" w:line="240" w:lineRule="auto"/>
              <w:rPr>
                <w:rFonts w:asciiTheme="majorHAnsi" w:hAnsiTheme="majorHAnsi"/>
                <w:bCs/>
                <w:sz w:val="20"/>
                <w:szCs w:val="20"/>
              </w:rPr>
            </w:pPr>
            <w:r w:rsidRPr="006276BB">
              <w:rPr>
                <w:rFonts w:asciiTheme="majorHAnsi" w:hAnsiTheme="majorHAnsi"/>
                <w:bCs/>
                <w:sz w:val="20"/>
                <w:szCs w:val="20"/>
              </w:rPr>
              <w:t>Sί</w:t>
            </w:r>
          </w:p>
        </w:tc>
      </w:tr>
      <w:tr w:rsidR="0037742A" w:rsidRPr="0082588E" w14:paraId="063B76A1" w14:textId="77777777" w:rsidTr="00365E52">
        <w:trPr>
          <w:cantSplit/>
        </w:trPr>
        <w:tc>
          <w:tcPr>
            <w:tcW w:w="3600" w:type="dxa"/>
            <w:shd w:val="clear" w:color="auto" w:fill="386294"/>
            <w:vAlign w:val="center"/>
          </w:tcPr>
          <w:p w14:paraId="0EAF0685" w14:textId="77777777" w:rsidR="0037742A" w:rsidRPr="006276BB" w:rsidRDefault="0037742A" w:rsidP="00B01D4E">
            <w:pPr>
              <w:spacing w:after="0" w:line="240" w:lineRule="auto"/>
              <w:jc w:val="center"/>
              <w:rPr>
                <w:rFonts w:asciiTheme="majorHAnsi" w:hAnsiTheme="majorHAnsi"/>
                <w:b/>
                <w:bCs/>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temporis</w:t>
            </w:r>
            <w:r w:rsidRPr="006276BB">
              <w:rPr>
                <w:rFonts w:asciiTheme="majorHAnsi" w:hAnsiTheme="majorHAnsi"/>
                <w:b/>
                <w:bCs/>
                <w:color w:val="FFFFFF"/>
                <w:sz w:val="20"/>
                <w:szCs w:val="20"/>
              </w:rPr>
              <w:t>:</w:t>
            </w:r>
          </w:p>
        </w:tc>
        <w:tc>
          <w:tcPr>
            <w:tcW w:w="5760" w:type="dxa"/>
            <w:vAlign w:val="center"/>
          </w:tcPr>
          <w:p w14:paraId="6B99CC31" w14:textId="50E94CF1" w:rsidR="0037742A" w:rsidRPr="0082588E" w:rsidRDefault="0037742A" w:rsidP="00B01D4E">
            <w:pPr>
              <w:spacing w:after="0" w:line="240" w:lineRule="auto"/>
              <w:rPr>
                <w:rFonts w:asciiTheme="majorHAnsi" w:hAnsiTheme="majorHAnsi"/>
                <w:bCs/>
                <w:sz w:val="20"/>
                <w:szCs w:val="20"/>
              </w:rPr>
            </w:pPr>
            <w:r w:rsidRPr="0082588E">
              <w:rPr>
                <w:rFonts w:asciiTheme="majorHAnsi" w:hAnsiTheme="majorHAnsi"/>
                <w:bCs/>
                <w:sz w:val="20"/>
                <w:szCs w:val="20"/>
              </w:rPr>
              <w:t>S</w:t>
            </w:r>
            <w:r w:rsidR="0082588E">
              <w:rPr>
                <w:rFonts w:asciiTheme="majorHAnsi" w:hAnsiTheme="majorHAnsi"/>
                <w:bCs/>
                <w:sz w:val="20"/>
                <w:szCs w:val="20"/>
              </w:rPr>
              <w:t>í</w:t>
            </w:r>
          </w:p>
        </w:tc>
      </w:tr>
      <w:tr w:rsidR="0037742A" w:rsidRPr="00D12290" w14:paraId="60C6127F" w14:textId="77777777" w:rsidTr="00365E52">
        <w:trPr>
          <w:cantSplit/>
        </w:trPr>
        <w:tc>
          <w:tcPr>
            <w:tcW w:w="3600" w:type="dxa"/>
            <w:tcBorders>
              <w:bottom w:val="single" w:sz="4" w:space="0" w:color="auto"/>
            </w:tcBorders>
            <w:shd w:val="clear" w:color="auto" w:fill="386294"/>
            <w:vAlign w:val="center"/>
          </w:tcPr>
          <w:p w14:paraId="3242B7A9" w14:textId="77777777" w:rsidR="0037742A" w:rsidRPr="006276BB" w:rsidRDefault="0037742A" w:rsidP="00365E52">
            <w:pPr>
              <w:jc w:val="center"/>
              <w:rPr>
                <w:rFonts w:asciiTheme="majorHAnsi" w:hAnsiTheme="majorHAnsi"/>
                <w:b/>
                <w:bCs/>
                <w:color w:val="FFFFFF"/>
                <w:sz w:val="20"/>
                <w:szCs w:val="20"/>
              </w:rPr>
            </w:pPr>
            <w:r w:rsidRPr="006276BB">
              <w:rPr>
                <w:rFonts w:asciiTheme="majorHAnsi" w:hAnsiTheme="majorHAnsi"/>
                <w:b/>
                <w:bCs/>
                <w:color w:val="FFFFFF"/>
                <w:sz w:val="20"/>
                <w:szCs w:val="20"/>
              </w:rPr>
              <w:t>Competencia</w:t>
            </w:r>
            <w:r w:rsidRPr="006276BB">
              <w:rPr>
                <w:rFonts w:asciiTheme="majorHAnsi" w:hAnsiTheme="majorHAnsi"/>
                <w:b/>
                <w:bCs/>
                <w:i/>
                <w:color w:val="FFFFFF"/>
                <w:sz w:val="20"/>
                <w:szCs w:val="20"/>
              </w:rPr>
              <w:t xml:space="preserve"> Ratione materiae</w:t>
            </w:r>
            <w:r w:rsidRPr="006276BB">
              <w:rPr>
                <w:rFonts w:asciiTheme="majorHAnsi" w:hAnsiTheme="majorHAnsi"/>
                <w:b/>
                <w:bCs/>
                <w:color w:val="FFFFFF"/>
                <w:sz w:val="20"/>
                <w:szCs w:val="20"/>
              </w:rPr>
              <w:t>:</w:t>
            </w:r>
          </w:p>
        </w:tc>
        <w:tc>
          <w:tcPr>
            <w:tcW w:w="5760" w:type="dxa"/>
            <w:tcBorders>
              <w:bottom w:val="single" w:sz="4" w:space="0" w:color="auto"/>
            </w:tcBorders>
            <w:vAlign w:val="center"/>
          </w:tcPr>
          <w:p w14:paraId="448C9893" w14:textId="3528C069" w:rsidR="0037742A" w:rsidRPr="006276BB" w:rsidRDefault="0037742A" w:rsidP="004C3DAE">
            <w:pPr>
              <w:pStyle w:val="Default"/>
              <w:jc w:val="both"/>
              <w:rPr>
                <w:rFonts w:asciiTheme="majorHAnsi" w:hAnsiTheme="majorHAnsi"/>
                <w:sz w:val="20"/>
                <w:szCs w:val="20"/>
                <w:lang w:val="es-VE"/>
              </w:rPr>
            </w:pPr>
            <w:r w:rsidRPr="006276BB">
              <w:rPr>
                <w:rFonts w:asciiTheme="majorHAnsi" w:hAnsiTheme="majorHAnsi"/>
                <w:sz w:val="20"/>
                <w:szCs w:val="20"/>
                <w:lang w:val="es-VE"/>
              </w:rPr>
              <w:t xml:space="preserve">Sí, Convención Americana (depósito del instrumento </w:t>
            </w:r>
            <w:r w:rsidR="004B56A5">
              <w:rPr>
                <w:rFonts w:asciiTheme="majorHAnsi" w:hAnsiTheme="majorHAnsi"/>
                <w:sz w:val="20"/>
                <w:szCs w:val="20"/>
                <w:lang w:val="es-VE"/>
              </w:rPr>
              <w:t xml:space="preserve">de ratificación </w:t>
            </w:r>
            <w:r w:rsidRPr="006276BB">
              <w:rPr>
                <w:rFonts w:asciiTheme="majorHAnsi" w:hAnsiTheme="majorHAnsi"/>
                <w:sz w:val="20"/>
                <w:szCs w:val="20"/>
                <w:lang w:val="es-VE"/>
              </w:rPr>
              <w:t xml:space="preserve">realizado el </w:t>
            </w:r>
            <w:r w:rsidR="0082588E">
              <w:rPr>
                <w:rFonts w:asciiTheme="majorHAnsi" w:hAnsiTheme="majorHAnsi"/>
                <w:sz w:val="20"/>
                <w:szCs w:val="20"/>
                <w:lang w:val="es-VE"/>
              </w:rPr>
              <w:t>8 de septiembre de 1977</w:t>
            </w:r>
            <w:r w:rsidRPr="006276BB">
              <w:rPr>
                <w:rFonts w:asciiTheme="majorHAnsi" w:hAnsiTheme="majorHAnsi"/>
                <w:sz w:val="20"/>
                <w:szCs w:val="20"/>
                <w:lang w:val="es-VE"/>
              </w:rPr>
              <w:t>)</w:t>
            </w:r>
          </w:p>
        </w:tc>
      </w:tr>
    </w:tbl>
    <w:p w14:paraId="29C07CD6" w14:textId="2BAD0BA7" w:rsidR="0037742A" w:rsidRPr="006276BB" w:rsidRDefault="0037742A" w:rsidP="00E20A73">
      <w:pPr>
        <w:spacing w:before="240" w:after="240"/>
        <w:ind w:left="1440" w:hanging="720"/>
        <w:jc w:val="both"/>
        <w:rPr>
          <w:rFonts w:asciiTheme="majorHAnsi" w:hAnsiTheme="majorHAnsi"/>
          <w:b/>
          <w:bCs/>
          <w:sz w:val="20"/>
          <w:szCs w:val="20"/>
          <w:lang w:val="es-ES"/>
        </w:rPr>
      </w:pPr>
      <w:r w:rsidRPr="006276BB">
        <w:rPr>
          <w:rFonts w:asciiTheme="majorHAnsi" w:hAnsiTheme="majorHAnsi"/>
          <w:b/>
          <w:bCs/>
          <w:sz w:val="20"/>
          <w:szCs w:val="20"/>
          <w:lang w:val="es-ES"/>
        </w:rPr>
        <w:t xml:space="preserve">IV. </w:t>
      </w:r>
      <w:r w:rsidRPr="006276BB">
        <w:rPr>
          <w:rFonts w:asciiTheme="majorHAnsi" w:hAnsiTheme="majorHAnsi"/>
          <w:b/>
          <w:bCs/>
          <w:sz w:val="20"/>
          <w:szCs w:val="20"/>
          <w:lang w:val="es-ES"/>
        </w:rPr>
        <w:tab/>
        <w:t>DUPLICACIÓN</w:t>
      </w:r>
      <w:r w:rsidRPr="006276BB">
        <w:rPr>
          <w:rFonts w:asciiTheme="majorHAnsi" w:hAnsiTheme="majorHAnsi"/>
          <w:b/>
          <w:bCs/>
          <w:color w:val="FFFFFF"/>
          <w:sz w:val="20"/>
          <w:szCs w:val="20"/>
          <w:lang w:val="es-ES"/>
        </w:rPr>
        <w:t xml:space="preserve"> </w:t>
      </w:r>
      <w:r w:rsidRPr="006276BB">
        <w:rPr>
          <w:rFonts w:asciiTheme="majorHAnsi" w:hAnsiTheme="majorHAnsi"/>
          <w:b/>
          <w:bCs/>
          <w:sz w:val="20"/>
          <w:szCs w:val="20"/>
          <w:lang w:val="es-ES"/>
        </w:rPr>
        <w:t>DE PROCEDIMIENTOS Y COSA JUZGADA</w:t>
      </w:r>
      <w:r w:rsidRPr="006276BB">
        <w:rPr>
          <w:rFonts w:asciiTheme="majorHAnsi" w:hAnsiTheme="majorHAnsi"/>
          <w:b/>
          <w:bCs/>
          <w:i/>
          <w:sz w:val="20"/>
          <w:szCs w:val="20"/>
          <w:lang w:val="es-ES"/>
        </w:rPr>
        <w:t xml:space="preserve"> </w:t>
      </w:r>
      <w:r w:rsidR="004C3DAE">
        <w:rPr>
          <w:rFonts w:asciiTheme="majorHAnsi" w:hAnsiTheme="majorHAnsi"/>
          <w:b/>
          <w:bCs/>
          <w:sz w:val="20"/>
          <w:szCs w:val="20"/>
          <w:lang w:val="es-ES"/>
        </w:rPr>
        <w:t xml:space="preserve">INTERNACIONAL, </w:t>
      </w:r>
      <w:r w:rsidRPr="006276BB">
        <w:rPr>
          <w:rFonts w:asciiTheme="majorHAnsi" w:hAnsiTheme="majorHAnsi"/>
          <w:b/>
          <w:bCs/>
          <w:sz w:val="20"/>
          <w:szCs w:val="20"/>
          <w:lang w:val="es-ES"/>
        </w:rPr>
        <w:t xml:space="preserve">CARACTERIZACIÓN, </w:t>
      </w:r>
      <w:r w:rsidRPr="006276BB">
        <w:rPr>
          <w:rFonts w:asciiTheme="majorHAnsi" w:hAnsiTheme="majorHAnsi"/>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8"/>
        <w:gridCol w:w="5674"/>
      </w:tblGrid>
      <w:tr w:rsidR="0037742A" w:rsidRPr="0031297A" w14:paraId="186B251C" w14:textId="77777777" w:rsidTr="00365E52">
        <w:trPr>
          <w:cantSplit/>
        </w:trPr>
        <w:tc>
          <w:tcPr>
            <w:tcW w:w="3600" w:type="dxa"/>
            <w:tcBorders>
              <w:top w:val="single" w:sz="4" w:space="0" w:color="auto"/>
            </w:tcBorders>
            <w:shd w:val="clear" w:color="auto" w:fill="386294"/>
            <w:vAlign w:val="center"/>
          </w:tcPr>
          <w:p w14:paraId="5881EA65" w14:textId="77777777" w:rsidR="0037742A" w:rsidRPr="006276BB" w:rsidRDefault="0037742A" w:rsidP="00365E52">
            <w:pP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t>Duplicación de procedimientos y cosa juzgada internacional:</w:t>
            </w:r>
          </w:p>
        </w:tc>
        <w:tc>
          <w:tcPr>
            <w:tcW w:w="5760" w:type="dxa"/>
            <w:tcBorders>
              <w:top w:val="single" w:sz="4" w:space="0" w:color="auto"/>
            </w:tcBorders>
            <w:vAlign w:val="center"/>
          </w:tcPr>
          <w:p w14:paraId="0B09F791" w14:textId="77777777" w:rsidR="0037742A" w:rsidRPr="006276BB" w:rsidRDefault="0037742A" w:rsidP="00365E52">
            <w:pPr>
              <w:jc w:val="both"/>
              <w:rPr>
                <w:rFonts w:asciiTheme="majorHAnsi" w:hAnsiTheme="majorHAnsi"/>
                <w:bCs/>
                <w:sz w:val="20"/>
                <w:szCs w:val="20"/>
                <w:lang w:val="es-ES"/>
              </w:rPr>
            </w:pPr>
            <w:r w:rsidRPr="006276BB">
              <w:rPr>
                <w:rFonts w:asciiTheme="majorHAnsi" w:hAnsiTheme="majorHAnsi"/>
                <w:bCs/>
                <w:sz w:val="20"/>
                <w:szCs w:val="20"/>
                <w:lang w:val="es-ES"/>
              </w:rPr>
              <w:t>No</w:t>
            </w:r>
          </w:p>
        </w:tc>
      </w:tr>
      <w:tr w:rsidR="0037742A" w:rsidRPr="007325D3" w14:paraId="1577966A" w14:textId="77777777" w:rsidTr="00365E52">
        <w:trPr>
          <w:cantSplit/>
        </w:trPr>
        <w:tc>
          <w:tcPr>
            <w:tcW w:w="3600" w:type="dxa"/>
            <w:tcBorders>
              <w:top w:val="single" w:sz="4" w:space="0" w:color="auto"/>
            </w:tcBorders>
            <w:shd w:val="clear" w:color="auto" w:fill="386294"/>
            <w:vAlign w:val="center"/>
          </w:tcPr>
          <w:p w14:paraId="617B55D2" w14:textId="77777777" w:rsidR="0037742A" w:rsidRPr="006276BB" w:rsidRDefault="0037742A" w:rsidP="00365E52">
            <w:pPr>
              <w:jc w:val="center"/>
              <w:rPr>
                <w:rFonts w:asciiTheme="majorHAnsi" w:hAnsiTheme="majorHAnsi"/>
                <w:b/>
                <w:bCs/>
                <w:i/>
                <w:color w:val="FFFFFF"/>
                <w:sz w:val="20"/>
                <w:szCs w:val="20"/>
              </w:rPr>
            </w:pPr>
            <w:r w:rsidRPr="006276BB">
              <w:rPr>
                <w:rFonts w:asciiTheme="majorHAnsi" w:hAnsiTheme="majorHAnsi"/>
                <w:b/>
                <w:bCs/>
                <w:color w:val="FFFFFF"/>
                <w:sz w:val="20"/>
                <w:szCs w:val="20"/>
              </w:rPr>
              <w:t>Derechos declarados admisibles</w:t>
            </w:r>
            <w:r w:rsidRPr="006276BB">
              <w:rPr>
                <w:rFonts w:asciiTheme="majorHAnsi" w:hAnsiTheme="majorHAnsi"/>
                <w:b/>
                <w:bCs/>
                <w:i/>
                <w:color w:val="FFFFFF"/>
                <w:sz w:val="20"/>
                <w:szCs w:val="20"/>
              </w:rPr>
              <w:t>:</w:t>
            </w:r>
          </w:p>
        </w:tc>
        <w:tc>
          <w:tcPr>
            <w:tcW w:w="5760" w:type="dxa"/>
            <w:vAlign w:val="center"/>
          </w:tcPr>
          <w:p w14:paraId="53985166" w14:textId="5221EFDD" w:rsidR="0037742A" w:rsidRPr="006276BB" w:rsidRDefault="004B56A5" w:rsidP="007325D3">
            <w:pPr>
              <w:jc w:val="both"/>
              <w:rPr>
                <w:rFonts w:asciiTheme="majorHAnsi" w:hAnsiTheme="majorHAnsi"/>
                <w:bCs/>
                <w:sz w:val="20"/>
                <w:szCs w:val="20"/>
                <w:lang w:val="es-VE"/>
              </w:rPr>
            </w:pPr>
            <w:r>
              <w:rPr>
                <w:rFonts w:asciiTheme="majorHAnsi" w:hAnsiTheme="majorHAnsi" w:cs="Arial"/>
                <w:sz w:val="20"/>
                <w:szCs w:val="20"/>
                <w:lang w:val="es-VE" w:eastAsia="es-ES"/>
              </w:rPr>
              <w:t>N/A</w:t>
            </w:r>
          </w:p>
        </w:tc>
      </w:tr>
      <w:tr w:rsidR="0037742A" w:rsidRPr="0060450C" w14:paraId="1E9C34B7" w14:textId="77777777" w:rsidTr="00365E52">
        <w:trPr>
          <w:cantSplit/>
        </w:trPr>
        <w:tc>
          <w:tcPr>
            <w:tcW w:w="3600" w:type="dxa"/>
            <w:shd w:val="clear" w:color="auto" w:fill="386294"/>
            <w:vAlign w:val="center"/>
          </w:tcPr>
          <w:p w14:paraId="27D22A9D" w14:textId="77777777" w:rsidR="0037742A" w:rsidRPr="006276BB" w:rsidRDefault="0037742A" w:rsidP="00365E52">
            <w:pPr>
              <w:jc w:val="center"/>
              <w:rPr>
                <w:rFonts w:asciiTheme="majorHAnsi" w:hAnsiTheme="majorHAnsi"/>
                <w:b/>
                <w:bCs/>
                <w:color w:val="FFFFFF"/>
                <w:sz w:val="20"/>
                <w:szCs w:val="20"/>
                <w:lang w:val="es-ES"/>
              </w:rPr>
            </w:pPr>
            <w:r w:rsidRPr="006276BB">
              <w:rPr>
                <w:rFonts w:asciiTheme="majorHAnsi" w:hAnsiTheme="majorHAnsi"/>
                <w:b/>
                <w:bCs/>
                <w:color w:val="FFFFFF"/>
                <w:sz w:val="20"/>
                <w:szCs w:val="20"/>
                <w:lang w:val="es-ES"/>
              </w:rPr>
              <w:lastRenderedPageBreak/>
              <w:t>Agotamiento de recursos internos o procedencia de una excepción:</w:t>
            </w:r>
          </w:p>
        </w:tc>
        <w:tc>
          <w:tcPr>
            <w:tcW w:w="5760" w:type="dxa"/>
            <w:vAlign w:val="center"/>
          </w:tcPr>
          <w:p w14:paraId="44B9952A" w14:textId="315CE14A" w:rsidR="0037742A" w:rsidRPr="006276BB" w:rsidRDefault="004C3DAE" w:rsidP="00966963">
            <w:pPr>
              <w:rPr>
                <w:rFonts w:asciiTheme="majorHAnsi" w:hAnsiTheme="majorHAnsi"/>
                <w:bCs/>
                <w:sz w:val="20"/>
                <w:szCs w:val="20"/>
                <w:lang w:val="es-ES"/>
              </w:rPr>
            </w:pPr>
            <w:r>
              <w:rPr>
                <w:rFonts w:asciiTheme="majorHAnsi" w:hAnsiTheme="majorHAnsi"/>
                <w:bCs/>
                <w:sz w:val="20"/>
                <w:szCs w:val="20"/>
              </w:rPr>
              <w:t>No</w:t>
            </w:r>
          </w:p>
        </w:tc>
      </w:tr>
      <w:tr w:rsidR="0037742A" w:rsidRPr="0060450C" w14:paraId="7B70730B" w14:textId="77777777" w:rsidTr="00365E52">
        <w:trPr>
          <w:cantSplit/>
        </w:trPr>
        <w:tc>
          <w:tcPr>
            <w:tcW w:w="3600" w:type="dxa"/>
            <w:tcBorders>
              <w:bottom w:val="single" w:sz="4" w:space="0" w:color="auto"/>
            </w:tcBorders>
            <w:shd w:val="clear" w:color="auto" w:fill="386294"/>
            <w:vAlign w:val="center"/>
          </w:tcPr>
          <w:p w14:paraId="699F1CC1" w14:textId="77777777" w:rsidR="0037742A" w:rsidRPr="006276BB" w:rsidRDefault="0037742A" w:rsidP="00365E52">
            <w:pPr>
              <w:jc w:val="center"/>
              <w:rPr>
                <w:rFonts w:asciiTheme="majorHAnsi" w:hAnsiTheme="majorHAnsi"/>
                <w:b/>
                <w:bCs/>
                <w:color w:val="FFFFFF"/>
                <w:sz w:val="20"/>
                <w:szCs w:val="20"/>
              </w:rPr>
            </w:pPr>
            <w:r w:rsidRPr="006276BB">
              <w:rPr>
                <w:rFonts w:asciiTheme="majorHAnsi" w:hAnsiTheme="majorHAnsi"/>
                <w:b/>
                <w:bCs/>
                <w:color w:val="FFFFFF"/>
                <w:sz w:val="20"/>
                <w:szCs w:val="20"/>
              </w:rPr>
              <w:t>Presentación dentro de plazo:</w:t>
            </w:r>
          </w:p>
        </w:tc>
        <w:tc>
          <w:tcPr>
            <w:tcW w:w="5760" w:type="dxa"/>
            <w:tcBorders>
              <w:bottom w:val="single" w:sz="4" w:space="0" w:color="auto"/>
            </w:tcBorders>
            <w:vAlign w:val="center"/>
          </w:tcPr>
          <w:p w14:paraId="181F14DF" w14:textId="50592C67" w:rsidR="0037742A" w:rsidRPr="0082588E" w:rsidRDefault="004C3DAE" w:rsidP="004C3DAE">
            <w:pPr>
              <w:rPr>
                <w:rFonts w:asciiTheme="majorHAnsi" w:hAnsiTheme="majorHAnsi"/>
                <w:bCs/>
                <w:sz w:val="20"/>
                <w:szCs w:val="20"/>
              </w:rPr>
            </w:pPr>
            <w:r>
              <w:rPr>
                <w:rFonts w:asciiTheme="majorHAnsi" w:hAnsiTheme="majorHAnsi"/>
                <w:bCs/>
                <w:sz w:val="20"/>
                <w:szCs w:val="20"/>
                <w:lang w:val="es-ES"/>
              </w:rPr>
              <w:t>N/A</w:t>
            </w:r>
          </w:p>
        </w:tc>
      </w:tr>
    </w:tbl>
    <w:p w14:paraId="633E1EB5" w14:textId="77777777" w:rsidR="006D0E0A" w:rsidRDefault="006D0E0A" w:rsidP="00E20A73">
      <w:pPr>
        <w:spacing w:after="0" w:line="240" w:lineRule="auto"/>
        <w:jc w:val="both"/>
        <w:rPr>
          <w:rFonts w:asciiTheme="majorHAnsi" w:hAnsiTheme="majorHAnsi"/>
          <w:b/>
          <w:sz w:val="20"/>
          <w:szCs w:val="20"/>
          <w:lang w:val="es-ES_tradnl"/>
        </w:rPr>
      </w:pPr>
    </w:p>
    <w:p w14:paraId="23FA6A81" w14:textId="4F34BEB1" w:rsidR="0037742A" w:rsidRDefault="0037742A" w:rsidP="00E20A73">
      <w:pPr>
        <w:spacing w:after="0" w:line="240" w:lineRule="auto"/>
        <w:ind w:firstLine="720"/>
        <w:jc w:val="both"/>
        <w:rPr>
          <w:rFonts w:asciiTheme="majorHAnsi" w:hAnsiTheme="majorHAnsi"/>
          <w:b/>
          <w:sz w:val="20"/>
          <w:szCs w:val="20"/>
          <w:lang w:val="es-ES_tradnl"/>
        </w:rPr>
      </w:pPr>
      <w:r w:rsidRPr="00506D99">
        <w:rPr>
          <w:rFonts w:asciiTheme="majorHAnsi" w:hAnsiTheme="majorHAnsi"/>
          <w:b/>
          <w:sz w:val="20"/>
          <w:szCs w:val="20"/>
          <w:lang w:val="es-ES_tradnl"/>
        </w:rPr>
        <w:t xml:space="preserve">V. </w:t>
      </w:r>
      <w:r w:rsidRPr="00506D99">
        <w:rPr>
          <w:rFonts w:asciiTheme="majorHAnsi" w:hAnsiTheme="majorHAnsi"/>
          <w:b/>
          <w:sz w:val="20"/>
          <w:szCs w:val="20"/>
          <w:lang w:val="es-ES_tradnl"/>
        </w:rPr>
        <w:tab/>
        <w:t xml:space="preserve">HECHOS ALEGADOS </w:t>
      </w:r>
    </w:p>
    <w:p w14:paraId="35847D25" w14:textId="77777777" w:rsidR="00E20A73" w:rsidRDefault="00E20A73" w:rsidP="00E20A73">
      <w:pPr>
        <w:spacing w:after="0" w:line="240" w:lineRule="auto"/>
        <w:jc w:val="both"/>
        <w:rPr>
          <w:rFonts w:asciiTheme="majorHAnsi" w:hAnsiTheme="majorHAnsi"/>
          <w:b/>
          <w:sz w:val="20"/>
          <w:szCs w:val="20"/>
          <w:lang w:val="es-ES_tradnl"/>
        </w:rPr>
      </w:pPr>
    </w:p>
    <w:p w14:paraId="0FA182FE" w14:textId="28676EBD" w:rsidR="000B47D2" w:rsidRPr="00506D99" w:rsidRDefault="00D12290" w:rsidP="00E20A73">
      <w:pPr>
        <w:pStyle w:val="Default"/>
        <w:numPr>
          <w:ilvl w:val="0"/>
          <w:numId w:val="55"/>
        </w:numPr>
        <w:spacing w:after="0" w:line="240" w:lineRule="auto"/>
        <w:jc w:val="both"/>
        <w:rPr>
          <w:rFonts w:asciiTheme="majorHAnsi" w:hAnsiTheme="majorHAnsi" w:cs="Arial"/>
          <w:sz w:val="16"/>
          <w:szCs w:val="16"/>
          <w:lang w:val="es-ES_tradnl" w:eastAsia="es-ES"/>
        </w:rPr>
      </w:pPr>
      <w:r>
        <w:rPr>
          <w:rFonts w:asciiTheme="majorHAnsi" w:hAnsiTheme="majorHAnsi"/>
          <w:sz w:val="20"/>
          <w:szCs w:val="20"/>
          <w:lang w:val="es-ES_tradnl"/>
        </w:rPr>
        <w:t xml:space="preserve">El peticionario alega que </w:t>
      </w:r>
      <w:r>
        <w:rPr>
          <w:rFonts w:asciiTheme="majorHAnsi" w:hAnsiTheme="majorHAnsi"/>
          <w:bCs/>
          <w:sz w:val="20"/>
          <w:szCs w:val="20"/>
          <w:lang w:val="es-PA"/>
        </w:rPr>
        <w:t>Manuel Enrique Leiva Oliva</w:t>
      </w:r>
      <w:r w:rsidRPr="00506D99">
        <w:rPr>
          <w:rFonts w:asciiTheme="majorHAnsi" w:hAnsiTheme="majorHAnsi"/>
          <w:sz w:val="20"/>
          <w:szCs w:val="20"/>
          <w:lang w:val="es-ES_tradnl"/>
        </w:rPr>
        <w:t xml:space="preserve"> </w:t>
      </w:r>
      <w:r>
        <w:rPr>
          <w:rFonts w:asciiTheme="majorHAnsi" w:hAnsiTheme="majorHAnsi"/>
          <w:sz w:val="20"/>
          <w:szCs w:val="20"/>
          <w:lang w:val="es-ES_tradnl"/>
        </w:rPr>
        <w:t>(en adelante “</w:t>
      </w:r>
      <w:r w:rsidR="00E8520A" w:rsidRPr="00506D99">
        <w:rPr>
          <w:rFonts w:asciiTheme="majorHAnsi" w:hAnsiTheme="majorHAnsi"/>
          <w:sz w:val="20"/>
          <w:szCs w:val="20"/>
          <w:lang w:val="es-ES_tradnl"/>
        </w:rPr>
        <w:t>la presunta víctima</w:t>
      </w:r>
      <w:r>
        <w:rPr>
          <w:rFonts w:asciiTheme="majorHAnsi" w:hAnsiTheme="majorHAnsi"/>
          <w:sz w:val="20"/>
          <w:szCs w:val="20"/>
          <w:lang w:val="es-ES_tradnl"/>
        </w:rPr>
        <w:t>”)</w:t>
      </w:r>
      <w:r w:rsidR="00E8520A" w:rsidRPr="00506D99">
        <w:rPr>
          <w:rFonts w:asciiTheme="majorHAnsi" w:hAnsiTheme="majorHAnsi"/>
          <w:sz w:val="20"/>
          <w:szCs w:val="20"/>
          <w:lang w:val="es-ES_tradnl"/>
        </w:rPr>
        <w:t xml:space="preserve"> </w:t>
      </w:r>
      <w:r w:rsidR="004C3DAE" w:rsidRPr="00506D99">
        <w:rPr>
          <w:rFonts w:asciiTheme="majorHAnsi" w:hAnsiTheme="majorHAnsi"/>
          <w:sz w:val="20"/>
          <w:szCs w:val="20"/>
          <w:lang w:val="es-ES_tradnl"/>
        </w:rPr>
        <w:t>fue destituid</w:t>
      </w:r>
      <w:r>
        <w:rPr>
          <w:rFonts w:asciiTheme="majorHAnsi" w:hAnsiTheme="majorHAnsi"/>
          <w:sz w:val="20"/>
          <w:szCs w:val="20"/>
          <w:lang w:val="es-ES_tradnl"/>
        </w:rPr>
        <w:t>o</w:t>
      </w:r>
      <w:r w:rsidR="004C3DAE" w:rsidRPr="00506D99">
        <w:rPr>
          <w:rFonts w:asciiTheme="majorHAnsi" w:hAnsiTheme="majorHAnsi"/>
          <w:sz w:val="20"/>
          <w:szCs w:val="20"/>
          <w:lang w:val="es-ES_tradnl"/>
        </w:rPr>
        <w:t xml:space="preserve"> sin proceso previo del cargo que ocupaba en </w:t>
      </w:r>
      <w:r>
        <w:rPr>
          <w:rFonts w:asciiTheme="majorHAnsi" w:hAnsiTheme="majorHAnsi"/>
          <w:sz w:val="20"/>
          <w:szCs w:val="20"/>
          <w:lang w:val="es-ES_tradnl"/>
        </w:rPr>
        <w:t xml:space="preserve">la </w:t>
      </w:r>
      <w:r w:rsidRPr="00506D99">
        <w:rPr>
          <w:rFonts w:asciiTheme="majorHAnsi" w:hAnsiTheme="majorHAnsi" w:cs="Arial"/>
          <w:sz w:val="20"/>
          <w:szCs w:val="20"/>
          <w:lang w:val="es-ES_tradnl" w:eastAsia="es-ES"/>
        </w:rPr>
        <w:t>Corporación Centroamericana de Servicios de Navegación Aérea (COCESNA)</w:t>
      </w:r>
      <w:r w:rsidR="00B73492">
        <w:rPr>
          <w:rFonts w:asciiTheme="majorHAnsi" w:hAnsiTheme="majorHAnsi" w:cs="Arial"/>
          <w:sz w:val="20"/>
          <w:szCs w:val="20"/>
          <w:lang w:val="es-ES_tradnl" w:eastAsia="es-ES"/>
        </w:rPr>
        <w:t xml:space="preserve">, </w:t>
      </w:r>
      <w:r w:rsidR="004C3DAE" w:rsidRPr="00506D99">
        <w:rPr>
          <w:rFonts w:asciiTheme="majorHAnsi" w:hAnsiTheme="majorHAnsi"/>
          <w:sz w:val="20"/>
          <w:szCs w:val="20"/>
          <w:lang w:val="es-ES_tradnl"/>
        </w:rPr>
        <w:t xml:space="preserve">organismo internacional del Sistema de </w:t>
      </w:r>
      <w:r w:rsidR="005F6A94" w:rsidRPr="00506D99">
        <w:rPr>
          <w:rFonts w:asciiTheme="majorHAnsi" w:hAnsiTheme="majorHAnsi"/>
          <w:sz w:val="20"/>
          <w:szCs w:val="20"/>
          <w:lang w:val="es-ES_tradnl"/>
        </w:rPr>
        <w:t xml:space="preserve">la </w:t>
      </w:r>
      <w:r w:rsidR="004C3DAE" w:rsidRPr="00506D99">
        <w:rPr>
          <w:rFonts w:asciiTheme="majorHAnsi" w:hAnsiTheme="majorHAnsi"/>
          <w:sz w:val="20"/>
          <w:szCs w:val="20"/>
          <w:lang w:val="es-ES_tradnl"/>
        </w:rPr>
        <w:t>Integración Centro</w:t>
      </w:r>
      <w:r w:rsidR="005F6A94" w:rsidRPr="00506D99">
        <w:rPr>
          <w:rFonts w:asciiTheme="majorHAnsi" w:hAnsiTheme="majorHAnsi"/>
          <w:sz w:val="20"/>
          <w:szCs w:val="20"/>
          <w:lang w:val="es-ES_tradnl"/>
        </w:rPr>
        <w:t>americana</w:t>
      </w:r>
      <w:r w:rsidR="00513846" w:rsidRPr="00506D99">
        <w:rPr>
          <w:rFonts w:asciiTheme="majorHAnsi" w:hAnsiTheme="majorHAnsi"/>
          <w:sz w:val="20"/>
          <w:szCs w:val="20"/>
          <w:lang w:val="es-ES_tradnl"/>
        </w:rPr>
        <w:t xml:space="preserve"> (SICA)</w:t>
      </w:r>
      <w:r w:rsidR="00B73492">
        <w:rPr>
          <w:rFonts w:asciiTheme="majorHAnsi" w:hAnsiTheme="majorHAnsi"/>
          <w:sz w:val="20"/>
          <w:szCs w:val="20"/>
          <w:lang w:val="es-ES_tradnl"/>
        </w:rPr>
        <w:t>,</w:t>
      </w:r>
      <w:r w:rsidR="0076193D" w:rsidRPr="00506D99">
        <w:rPr>
          <w:rFonts w:asciiTheme="majorHAnsi" w:hAnsiTheme="majorHAnsi"/>
          <w:sz w:val="20"/>
          <w:szCs w:val="20"/>
          <w:lang w:val="es-ES_tradnl"/>
        </w:rPr>
        <w:t xml:space="preserve"> </w:t>
      </w:r>
      <w:r w:rsidR="00B73492" w:rsidRPr="00506D99">
        <w:rPr>
          <w:rFonts w:asciiTheme="majorHAnsi" w:hAnsiTheme="majorHAnsi" w:cs="Arial"/>
          <w:sz w:val="20"/>
          <w:szCs w:val="20"/>
          <w:lang w:val="es-ES_tradnl" w:eastAsia="es-ES"/>
        </w:rPr>
        <w:t>con personalidad jurídica internacional y sede en Honduras</w:t>
      </w:r>
      <w:r w:rsidR="00B73492">
        <w:rPr>
          <w:rFonts w:asciiTheme="majorHAnsi" w:hAnsiTheme="majorHAnsi" w:cs="Arial"/>
          <w:sz w:val="20"/>
          <w:szCs w:val="20"/>
          <w:lang w:val="es-ES_tradnl" w:eastAsia="es-ES"/>
        </w:rPr>
        <w:t>.</w:t>
      </w:r>
      <w:r w:rsidR="00B73492">
        <w:rPr>
          <w:rFonts w:asciiTheme="majorHAnsi" w:hAnsiTheme="majorHAnsi"/>
          <w:sz w:val="20"/>
          <w:szCs w:val="20"/>
          <w:lang w:val="es-ES_tradnl"/>
        </w:rPr>
        <w:t xml:space="preserve"> Sostiene asimismo </w:t>
      </w:r>
      <w:r w:rsidR="0076193D" w:rsidRPr="00506D99">
        <w:rPr>
          <w:rFonts w:asciiTheme="majorHAnsi" w:hAnsiTheme="majorHAnsi"/>
          <w:sz w:val="20"/>
          <w:szCs w:val="20"/>
          <w:lang w:val="es-ES_tradnl"/>
        </w:rPr>
        <w:t xml:space="preserve">que ha quedado en un estado </w:t>
      </w:r>
      <w:r>
        <w:rPr>
          <w:rFonts w:asciiTheme="majorHAnsi" w:hAnsiTheme="majorHAnsi"/>
          <w:sz w:val="20"/>
          <w:szCs w:val="20"/>
          <w:lang w:val="es-ES_tradnl"/>
        </w:rPr>
        <w:t xml:space="preserve">de </w:t>
      </w:r>
      <w:r w:rsidR="0076193D" w:rsidRPr="00506D99">
        <w:rPr>
          <w:rFonts w:asciiTheme="majorHAnsi" w:hAnsiTheme="majorHAnsi"/>
          <w:sz w:val="20"/>
          <w:szCs w:val="20"/>
          <w:lang w:val="es-ES_tradnl"/>
        </w:rPr>
        <w:t xml:space="preserve">desprotección luego de que los tribunales de </w:t>
      </w:r>
      <w:r w:rsidR="00B73492">
        <w:rPr>
          <w:rFonts w:asciiTheme="majorHAnsi" w:hAnsiTheme="majorHAnsi"/>
          <w:sz w:val="20"/>
          <w:szCs w:val="20"/>
          <w:lang w:val="es-ES_tradnl"/>
        </w:rPr>
        <w:t xml:space="preserve">su país </w:t>
      </w:r>
      <w:r w:rsidR="0076193D" w:rsidRPr="00506D99">
        <w:rPr>
          <w:rFonts w:asciiTheme="majorHAnsi" w:hAnsiTheme="majorHAnsi"/>
          <w:sz w:val="20"/>
          <w:szCs w:val="20"/>
          <w:lang w:val="es-ES_tradnl"/>
        </w:rPr>
        <w:t xml:space="preserve">se negaran a ejercer </w:t>
      </w:r>
      <w:r>
        <w:rPr>
          <w:rFonts w:asciiTheme="majorHAnsi" w:hAnsiTheme="majorHAnsi"/>
          <w:sz w:val="20"/>
          <w:szCs w:val="20"/>
          <w:lang w:val="es-ES_tradnl"/>
        </w:rPr>
        <w:t xml:space="preserve">el </w:t>
      </w:r>
      <w:r w:rsidR="0076193D" w:rsidRPr="00506D99">
        <w:rPr>
          <w:rFonts w:asciiTheme="majorHAnsi" w:hAnsiTheme="majorHAnsi"/>
          <w:sz w:val="20"/>
          <w:szCs w:val="20"/>
          <w:lang w:val="es-ES_tradnl"/>
        </w:rPr>
        <w:t>control judicial sobre su despido en base a una inmunidad de jurisdicción que ampararía a</w:t>
      </w:r>
      <w:r w:rsidR="001373DB" w:rsidRPr="00506D99">
        <w:rPr>
          <w:rFonts w:asciiTheme="majorHAnsi" w:hAnsiTheme="majorHAnsi"/>
          <w:sz w:val="20"/>
          <w:szCs w:val="20"/>
          <w:lang w:val="es-ES_tradnl"/>
        </w:rPr>
        <w:t xml:space="preserve"> </w:t>
      </w:r>
      <w:r w:rsidR="00B73492">
        <w:rPr>
          <w:rFonts w:asciiTheme="majorHAnsi" w:hAnsiTheme="majorHAnsi"/>
          <w:sz w:val="20"/>
          <w:szCs w:val="20"/>
          <w:lang w:val="es-ES_tradnl"/>
        </w:rPr>
        <w:t>dicho</w:t>
      </w:r>
      <w:r w:rsidR="0076193D" w:rsidRPr="00506D99">
        <w:rPr>
          <w:rFonts w:asciiTheme="majorHAnsi" w:hAnsiTheme="majorHAnsi"/>
          <w:sz w:val="20"/>
          <w:szCs w:val="20"/>
          <w:lang w:val="es-ES_tradnl"/>
        </w:rPr>
        <w:t xml:space="preserve"> organismo</w:t>
      </w:r>
      <w:r w:rsidR="00513846" w:rsidRPr="00506D99">
        <w:rPr>
          <w:rFonts w:asciiTheme="majorHAnsi" w:hAnsiTheme="majorHAnsi"/>
          <w:sz w:val="20"/>
          <w:szCs w:val="20"/>
          <w:lang w:val="es-ES_tradnl"/>
        </w:rPr>
        <w:t xml:space="preserve">, pese a que </w:t>
      </w:r>
      <w:r>
        <w:rPr>
          <w:rFonts w:asciiTheme="majorHAnsi" w:hAnsiTheme="majorHAnsi"/>
          <w:sz w:val="20"/>
          <w:szCs w:val="20"/>
          <w:lang w:val="es-ES_tradnl"/>
        </w:rPr>
        <w:t xml:space="preserve">aquel </w:t>
      </w:r>
      <w:r w:rsidR="00513846" w:rsidRPr="00506D99">
        <w:rPr>
          <w:rFonts w:asciiTheme="majorHAnsi" w:hAnsiTheme="majorHAnsi"/>
          <w:sz w:val="20"/>
          <w:szCs w:val="20"/>
          <w:lang w:val="es-ES_tradnl"/>
        </w:rPr>
        <w:t>había renunciado a esa inmunidad a</w:t>
      </w:r>
      <w:r w:rsidR="00E8520A" w:rsidRPr="00506D99">
        <w:rPr>
          <w:rFonts w:asciiTheme="majorHAnsi" w:hAnsiTheme="majorHAnsi"/>
          <w:sz w:val="20"/>
          <w:szCs w:val="20"/>
          <w:lang w:val="es-ES_tradnl"/>
        </w:rPr>
        <w:t xml:space="preserve"> al inscribir un reglamento de trabajo ante las autoridades hondureñas. </w:t>
      </w:r>
      <w:r w:rsidR="00513846" w:rsidRPr="00506D99">
        <w:rPr>
          <w:rFonts w:asciiTheme="majorHAnsi" w:hAnsiTheme="majorHAnsi"/>
          <w:sz w:val="20"/>
          <w:szCs w:val="20"/>
          <w:lang w:val="es-ES_tradnl"/>
        </w:rPr>
        <w:t xml:space="preserve"> </w:t>
      </w:r>
    </w:p>
    <w:p w14:paraId="27B31A51" w14:textId="77777777" w:rsidR="0076193D" w:rsidRPr="00506D99" w:rsidRDefault="0076193D" w:rsidP="00E20A73">
      <w:pPr>
        <w:pStyle w:val="Default"/>
        <w:spacing w:after="0" w:line="240" w:lineRule="auto"/>
        <w:ind w:left="720"/>
        <w:jc w:val="both"/>
        <w:rPr>
          <w:rFonts w:asciiTheme="majorHAnsi" w:hAnsiTheme="majorHAnsi" w:cs="Arial"/>
          <w:sz w:val="16"/>
          <w:szCs w:val="16"/>
          <w:lang w:val="es-ES_tradnl" w:eastAsia="es-ES"/>
        </w:rPr>
      </w:pPr>
    </w:p>
    <w:p w14:paraId="3091BE11" w14:textId="53A0EF1D" w:rsidR="00244671" w:rsidRPr="00506D99" w:rsidRDefault="00F0303E" w:rsidP="00E20A73">
      <w:pPr>
        <w:pStyle w:val="Default"/>
        <w:numPr>
          <w:ilvl w:val="0"/>
          <w:numId w:val="55"/>
        </w:numPr>
        <w:spacing w:after="0" w:line="240" w:lineRule="auto"/>
        <w:jc w:val="both"/>
        <w:rPr>
          <w:rFonts w:asciiTheme="majorHAnsi" w:hAnsiTheme="majorHAnsi" w:cs="Arial"/>
          <w:sz w:val="16"/>
          <w:szCs w:val="16"/>
          <w:lang w:val="es-ES_tradnl" w:eastAsia="es-ES"/>
        </w:rPr>
      </w:pPr>
      <w:r w:rsidRPr="00506D99">
        <w:rPr>
          <w:rFonts w:asciiTheme="majorHAnsi" w:hAnsiTheme="majorHAnsi" w:cs="Arial"/>
          <w:sz w:val="20"/>
          <w:szCs w:val="20"/>
          <w:lang w:val="es-ES_tradnl" w:eastAsia="es-ES"/>
        </w:rPr>
        <w:t>E</w:t>
      </w:r>
      <w:r w:rsidR="005F6A94" w:rsidRPr="00506D99">
        <w:rPr>
          <w:rFonts w:asciiTheme="majorHAnsi" w:hAnsiTheme="majorHAnsi" w:cs="Arial"/>
          <w:sz w:val="20"/>
          <w:szCs w:val="20"/>
          <w:lang w:val="es-ES_tradnl" w:eastAsia="es-ES"/>
        </w:rPr>
        <w:t>n 1992 la presunta víctima ingresó a laborar en la</w:t>
      </w:r>
      <w:r w:rsidR="00B73492">
        <w:rPr>
          <w:rFonts w:asciiTheme="majorHAnsi" w:hAnsiTheme="majorHAnsi" w:cs="Arial"/>
          <w:sz w:val="20"/>
          <w:szCs w:val="20"/>
          <w:lang w:val="es-ES_tradnl" w:eastAsia="es-ES"/>
        </w:rPr>
        <w:t xml:space="preserve"> </w:t>
      </w:r>
      <w:r w:rsidR="00B73492" w:rsidRPr="00506D99">
        <w:rPr>
          <w:rFonts w:asciiTheme="majorHAnsi" w:hAnsiTheme="majorHAnsi" w:cs="Arial"/>
          <w:sz w:val="20"/>
          <w:szCs w:val="20"/>
          <w:lang w:val="es-ES_tradnl" w:eastAsia="es-ES"/>
        </w:rPr>
        <w:t>COCESNA</w:t>
      </w:r>
      <w:r w:rsidR="005F6A94" w:rsidRPr="00506D99">
        <w:rPr>
          <w:rFonts w:asciiTheme="majorHAnsi" w:hAnsiTheme="majorHAnsi" w:cs="Arial"/>
          <w:sz w:val="20"/>
          <w:szCs w:val="20"/>
          <w:lang w:val="es-ES_tradnl" w:eastAsia="es-ES"/>
        </w:rPr>
        <w:t xml:space="preserve">, </w:t>
      </w:r>
      <w:r w:rsidR="00B73492">
        <w:rPr>
          <w:rFonts w:asciiTheme="majorHAnsi" w:hAnsiTheme="majorHAnsi" w:cs="Arial"/>
          <w:sz w:val="20"/>
          <w:szCs w:val="20"/>
          <w:lang w:val="es-ES_tradnl" w:eastAsia="es-ES"/>
        </w:rPr>
        <w:t>que operaba conforme a un</w:t>
      </w:r>
      <w:r w:rsidR="00513846" w:rsidRPr="00506D99">
        <w:rPr>
          <w:rFonts w:asciiTheme="majorHAnsi" w:hAnsiTheme="majorHAnsi" w:cs="Arial"/>
          <w:sz w:val="20"/>
          <w:szCs w:val="20"/>
          <w:lang w:val="es-ES_tradnl" w:eastAsia="es-ES"/>
        </w:rPr>
        <w:t xml:space="preserve"> convenio </w:t>
      </w:r>
      <w:r w:rsidR="00B73492">
        <w:rPr>
          <w:rFonts w:asciiTheme="majorHAnsi" w:hAnsiTheme="majorHAnsi" w:cs="Arial"/>
          <w:sz w:val="20"/>
          <w:szCs w:val="20"/>
          <w:lang w:val="es-ES_tradnl" w:eastAsia="es-ES"/>
        </w:rPr>
        <w:t xml:space="preserve">con </w:t>
      </w:r>
      <w:r w:rsidR="00513846" w:rsidRPr="00506D99">
        <w:rPr>
          <w:rFonts w:asciiTheme="majorHAnsi" w:hAnsiTheme="majorHAnsi" w:cs="Arial"/>
          <w:sz w:val="20"/>
          <w:szCs w:val="20"/>
          <w:lang w:val="es-ES_tradnl" w:eastAsia="es-ES"/>
        </w:rPr>
        <w:t>Honduras</w:t>
      </w:r>
      <w:r w:rsidR="00B73492">
        <w:rPr>
          <w:rFonts w:asciiTheme="majorHAnsi" w:hAnsiTheme="majorHAnsi" w:cs="Arial"/>
          <w:sz w:val="20"/>
          <w:szCs w:val="20"/>
          <w:lang w:val="es-ES_tradnl" w:eastAsia="es-ES"/>
        </w:rPr>
        <w:t xml:space="preserve"> que le brindaba </w:t>
      </w:r>
      <w:r w:rsidR="00513846" w:rsidRPr="00506D99">
        <w:rPr>
          <w:rFonts w:asciiTheme="majorHAnsi" w:hAnsiTheme="majorHAnsi" w:cs="Arial"/>
          <w:sz w:val="20"/>
          <w:szCs w:val="20"/>
          <w:lang w:val="es-ES_tradnl" w:eastAsia="es-ES"/>
        </w:rPr>
        <w:t>inmunidad de toda jurisdicción</w:t>
      </w:r>
      <w:r w:rsidR="00B73492">
        <w:rPr>
          <w:rFonts w:asciiTheme="majorHAnsi" w:hAnsiTheme="majorHAnsi" w:cs="Arial"/>
          <w:sz w:val="20"/>
          <w:szCs w:val="20"/>
          <w:lang w:val="es-ES_tradnl" w:eastAsia="es-ES"/>
        </w:rPr>
        <w:t>,</w:t>
      </w:r>
      <w:r w:rsidR="00513846" w:rsidRPr="00506D99">
        <w:rPr>
          <w:rFonts w:asciiTheme="majorHAnsi" w:hAnsiTheme="majorHAnsi" w:cs="Arial"/>
          <w:sz w:val="20"/>
          <w:szCs w:val="20"/>
          <w:lang w:val="es-ES_tradnl" w:eastAsia="es-ES"/>
        </w:rPr>
        <w:t xml:space="preserve"> salvo que </w:t>
      </w:r>
      <w:r w:rsidR="00B73492">
        <w:rPr>
          <w:rFonts w:asciiTheme="majorHAnsi" w:hAnsiTheme="majorHAnsi" w:cs="Arial"/>
          <w:sz w:val="20"/>
          <w:szCs w:val="20"/>
          <w:lang w:val="es-ES_tradnl" w:eastAsia="es-ES"/>
        </w:rPr>
        <w:t xml:space="preserve">hubiera una </w:t>
      </w:r>
      <w:r w:rsidR="00513846" w:rsidRPr="00506D99">
        <w:rPr>
          <w:rFonts w:asciiTheme="majorHAnsi" w:hAnsiTheme="majorHAnsi" w:cs="Arial"/>
          <w:sz w:val="20"/>
          <w:szCs w:val="20"/>
          <w:lang w:val="es-ES_tradnl" w:eastAsia="es-ES"/>
        </w:rPr>
        <w:t xml:space="preserve">renuncia </w:t>
      </w:r>
      <w:r w:rsidR="00B73492">
        <w:rPr>
          <w:rFonts w:asciiTheme="majorHAnsi" w:hAnsiTheme="majorHAnsi" w:cs="Arial"/>
          <w:sz w:val="20"/>
          <w:szCs w:val="20"/>
          <w:lang w:val="es-ES_tradnl" w:eastAsia="es-ES"/>
        </w:rPr>
        <w:t xml:space="preserve">expresa </w:t>
      </w:r>
      <w:r w:rsidR="00513846" w:rsidRPr="00506D99">
        <w:rPr>
          <w:rFonts w:asciiTheme="majorHAnsi" w:hAnsiTheme="majorHAnsi" w:cs="Arial"/>
          <w:sz w:val="20"/>
          <w:szCs w:val="20"/>
          <w:lang w:val="es-ES_tradnl" w:eastAsia="es-ES"/>
        </w:rPr>
        <w:t xml:space="preserve">a </w:t>
      </w:r>
      <w:r w:rsidR="00B73492">
        <w:rPr>
          <w:rFonts w:asciiTheme="majorHAnsi" w:hAnsiTheme="majorHAnsi" w:cs="Arial"/>
          <w:sz w:val="20"/>
          <w:szCs w:val="20"/>
          <w:lang w:val="es-ES_tradnl" w:eastAsia="es-ES"/>
        </w:rPr>
        <w:t>tal</w:t>
      </w:r>
      <w:r w:rsidR="00513846" w:rsidRPr="00506D99">
        <w:rPr>
          <w:rFonts w:asciiTheme="majorHAnsi" w:hAnsiTheme="majorHAnsi" w:cs="Arial"/>
          <w:sz w:val="20"/>
          <w:szCs w:val="20"/>
          <w:lang w:val="es-ES_tradnl" w:eastAsia="es-ES"/>
        </w:rPr>
        <w:t xml:space="preserve"> inmunida</w:t>
      </w:r>
      <w:r w:rsidR="00244671" w:rsidRPr="00506D99">
        <w:rPr>
          <w:rFonts w:asciiTheme="majorHAnsi" w:hAnsiTheme="majorHAnsi" w:cs="Arial"/>
          <w:sz w:val="20"/>
          <w:szCs w:val="20"/>
          <w:lang w:val="es-ES_tradnl" w:eastAsia="es-ES"/>
        </w:rPr>
        <w:t>d</w:t>
      </w:r>
      <w:r w:rsidR="00E8520A" w:rsidRPr="00506D99">
        <w:rPr>
          <w:rFonts w:asciiTheme="majorHAnsi" w:hAnsiTheme="majorHAnsi" w:cs="Arial"/>
          <w:sz w:val="20"/>
          <w:szCs w:val="20"/>
          <w:lang w:val="es-ES_tradnl" w:eastAsia="es-ES"/>
        </w:rPr>
        <w:t>.</w:t>
      </w:r>
      <w:r w:rsidR="00244671" w:rsidRPr="00506D99">
        <w:rPr>
          <w:rFonts w:asciiTheme="majorHAnsi" w:hAnsiTheme="majorHAnsi" w:cs="Arial"/>
          <w:sz w:val="20"/>
          <w:szCs w:val="20"/>
          <w:lang w:val="es-ES_tradnl" w:eastAsia="es-ES"/>
        </w:rPr>
        <w:t xml:space="preserve"> </w:t>
      </w:r>
      <w:r w:rsidR="002A6877" w:rsidRPr="00506D99">
        <w:rPr>
          <w:rFonts w:asciiTheme="majorHAnsi" w:hAnsiTheme="majorHAnsi" w:cs="Arial"/>
          <w:sz w:val="20"/>
          <w:szCs w:val="20"/>
          <w:lang w:val="es-ES_tradnl" w:eastAsia="es-ES"/>
        </w:rPr>
        <w:t>E</w:t>
      </w:r>
      <w:r w:rsidR="008F4BB4" w:rsidRPr="00506D99">
        <w:rPr>
          <w:rFonts w:asciiTheme="majorHAnsi" w:hAnsiTheme="majorHAnsi" w:cs="Arial"/>
          <w:sz w:val="20"/>
          <w:szCs w:val="20"/>
          <w:lang w:val="es-ES_tradnl" w:eastAsia="es-ES"/>
        </w:rPr>
        <w:t>l 30 de abril de 2011 la presunta víctima fue despedid</w:t>
      </w:r>
      <w:r w:rsidR="00B73492">
        <w:rPr>
          <w:rFonts w:asciiTheme="majorHAnsi" w:hAnsiTheme="majorHAnsi" w:cs="Arial"/>
          <w:sz w:val="20"/>
          <w:szCs w:val="20"/>
          <w:lang w:val="es-ES_tradnl" w:eastAsia="es-ES"/>
        </w:rPr>
        <w:t>a</w:t>
      </w:r>
      <w:r w:rsidR="008F4BB4" w:rsidRPr="00506D99">
        <w:rPr>
          <w:rFonts w:asciiTheme="majorHAnsi" w:hAnsiTheme="majorHAnsi" w:cs="Arial"/>
          <w:sz w:val="20"/>
          <w:szCs w:val="20"/>
          <w:lang w:val="es-ES_tradnl" w:eastAsia="es-ES"/>
        </w:rPr>
        <w:t xml:space="preserve"> de COCESNA</w:t>
      </w:r>
      <w:r w:rsidR="00B73492">
        <w:rPr>
          <w:rFonts w:asciiTheme="majorHAnsi" w:hAnsiTheme="majorHAnsi" w:cs="Arial"/>
          <w:sz w:val="20"/>
          <w:szCs w:val="20"/>
          <w:lang w:val="es-ES_tradnl" w:eastAsia="es-ES"/>
        </w:rPr>
        <w:t xml:space="preserve">, con base </w:t>
      </w:r>
      <w:r w:rsidR="008F4BB4" w:rsidRPr="00506D99">
        <w:rPr>
          <w:rFonts w:asciiTheme="majorHAnsi" w:hAnsiTheme="majorHAnsi" w:cs="Arial"/>
          <w:sz w:val="20"/>
          <w:szCs w:val="20"/>
          <w:lang w:val="es-ES_tradnl" w:eastAsia="es-ES"/>
        </w:rPr>
        <w:t xml:space="preserve">en </w:t>
      </w:r>
      <w:r w:rsidR="00244671" w:rsidRPr="00506D99">
        <w:rPr>
          <w:rFonts w:asciiTheme="majorHAnsi" w:hAnsiTheme="majorHAnsi" w:cs="Arial"/>
          <w:sz w:val="20"/>
          <w:szCs w:val="20"/>
          <w:lang w:val="es-ES_tradnl" w:eastAsia="es-ES"/>
        </w:rPr>
        <w:t xml:space="preserve">una supuesta reestructuración y modernización de </w:t>
      </w:r>
      <w:r w:rsidR="00B73492">
        <w:rPr>
          <w:rFonts w:asciiTheme="majorHAnsi" w:hAnsiTheme="majorHAnsi" w:cs="Arial"/>
          <w:sz w:val="20"/>
          <w:szCs w:val="20"/>
          <w:lang w:val="es-ES_tradnl" w:eastAsia="es-ES"/>
        </w:rPr>
        <w:t>la organización</w:t>
      </w:r>
      <w:r w:rsidR="00672EB2">
        <w:rPr>
          <w:rFonts w:asciiTheme="majorHAnsi" w:hAnsiTheme="majorHAnsi" w:cs="Arial"/>
          <w:sz w:val="20"/>
          <w:szCs w:val="20"/>
          <w:lang w:val="es-ES_tradnl" w:eastAsia="es-ES"/>
        </w:rPr>
        <w:t>;</w:t>
      </w:r>
      <w:r w:rsidR="00B73492">
        <w:rPr>
          <w:rFonts w:asciiTheme="majorHAnsi" w:hAnsiTheme="majorHAnsi" w:cs="Arial"/>
          <w:sz w:val="20"/>
          <w:szCs w:val="20"/>
          <w:lang w:val="es-ES_tradnl" w:eastAsia="es-ES"/>
        </w:rPr>
        <w:t xml:space="preserve"> según el peticionario</w:t>
      </w:r>
      <w:r w:rsidR="00672EB2">
        <w:rPr>
          <w:rFonts w:asciiTheme="majorHAnsi" w:hAnsiTheme="majorHAnsi" w:cs="Arial"/>
          <w:sz w:val="20"/>
          <w:szCs w:val="20"/>
          <w:lang w:val="es-ES_tradnl" w:eastAsia="es-ES"/>
        </w:rPr>
        <w:t>, el despido se llevó a cabo</w:t>
      </w:r>
      <w:r w:rsidR="00B73492">
        <w:rPr>
          <w:rFonts w:asciiTheme="majorHAnsi" w:hAnsiTheme="majorHAnsi" w:cs="Arial"/>
          <w:sz w:val="20"/>
          <w:szCs w:val="20"/>
          <w:lang w:val="es-ES_tradnl" w:eastAsia="es-ES"/>
        </w:rPr>
        <w:t xml:space="preserve"> sin </w:t>
      </w:r>
      <w:r w:rsidR="00244671" w:rsidRPr="00506D99">
        <w:rPr>
          <w:rFonts w:asciiTheme="majorHAnsi" w:hAnsiTheme="majorHAnsi" w:cs="Arial"/>
          <w:sz w:val="20"/>
          <w:szCs w:val="20"/>
          <w:lang w:val="es-ES_tradnl" w:eastAsia="es-ES"/>
        </w:rPr>
        <w:t xml:space="preserve">investigación administrativa previa y en violación </w:t>
      </w:r>
      <w:r w:rsidR="00B73492">
        <w:rPr>
          <w:rFonts w:asciiTheme="majorHAnsi" w:hAnsiTheme="majorHAnsi" w:cs="Arial"/>
          <w:sz w:val="20"/>
          <w:szCs w:val="20"/>
          <w:lang w:val="es-ES_tradnl" w:eastAsia="es-ES"/>
        </w:rPr>
        <w:t>de</w:t>
      </w:r>
      <w:r w:rsidR="00672EB2">
        <w:rPr>
          <w:rFonts w:asciiTheme="majorHAnsi" w:hAnsiTheme="majorHAnsi" w:cs="Arial"/>
          <w:sz w:val="20"/>
          <w:szCs w:val="20"/>
          <w:lang w:val="es-ES_tradnl" w:eastAsia="es-ES"/>
        </w:rPr>
        <w:t xml:space="preserve"> </w:t>
      </w:r>
      <w:r w:rsidR="00244671" w:rsidRPr="00506D99">
        <w:rPr>
          <w:rFonts w:asciiTheme="majorHAnsi" w:hAnsiTheme="majorHAnsi" w:cs="Arial"/>
          <w:sz w:val="20"/>
          <w:szCs w:val="20"/>
          <w:lang w:val="es-ES_tradnl" w:eastAsia="es-ES"/>
        </w:rPr>
        <w:t>l</w:t>
      </w:r>
      <w:r w:rsidR="00672EB2">
        <w:rPr>
          <w:rFonts w:asciiTheme="majorHAnsi" w:hAnsiTheme="majorHAnsi" w:cs="Arial"/>
          <w:sz w:val="20"/>
          <w:szCs w:val="20"/>
          <w:lang w:val="es-ES_tradnl" w:eastAsia="es-ES"/>
        </w:rPr>
        <w:t>a</w:t>
      </w:r>
      <w:r w:rsidR="00244671" w:rsidRPr="00506D99">
        <w:rPr>
          <w:rFonts w:asciiTheme="majorHAnsi" w:hAnsiTheme="majorHAnsi" w:cs="Arial"/>
          <w:sz w:val="20"/>
          <w:szCs w:val="20"/>
          <w:lang w:val="es-ES_tradnl" w:eastAsia="es-ES"/>
        </w:rPr>
        <w:t xml:space="preserve"> </w:t>
      </w:r>
      <w:r w:rsidR="00672EB2" w:rsidRPr="00506D99">
        <w:rPr>
          <w:rFonts w:asciiTheme="majorHAnsi" w:hAnsiTheme="majorHAnsi" w:cs="Arial"/>
          <w:sz w:val="20"/>
          <w:szCs w:val="20"/>
          <w:lang w:val="es-ES_tradnl" w:eastAsia="es-ES"/>
        </w:rPr>
        <w:t xml:space="preserve">estabilidad laboral </w:t>
      </w:r>
      <w:r w:rsidR="00672EB2">
        <w:rPr>
          <w:rFonts w:asciiTheme="majorHAnsi" w:hAnsiTheme="majorHAnsi" w:cs="Arial"/>
          <w:sz w:val="20"/>
          <w:szCs w:val="20"/>
          <w:lang w:val="es-ES_tradnl" w:eastAsia="es-ES"/>
        </w:rPr>
        <w:t xml:space="preserve">prevista en el </w:t>
      </w:r>
      <w:r w:rsidR="00244671" w:rsidRPr="00506D99">
        <w:rPr>
          <w:rFonts w:asciiTheme="majorHAnsi" w:hAnsiTheme="majorHAnsi" w:cs="Arial"/>
          <w:sz w:val="20"/>
          <w:szCs w:val="20"/>
          <w:lang w:val="es-ES_tradnl" w:eastAsia="es-ES"/>
        </w:rPr>
        <w:t>ordenamiento jurídico hondureño.</w:t>
      </w:r>
    </w:p>
    <w:p w14:paraId="0B0EFCBB" w14:textId="44C9706E" w:rsidR="00244671" w:rsidRPr="00506D99" w:rsidRDefault="00244671" w:rsidP="00E20A73">
      <w:pPr>
        <w:pStyle w:val="Default"/>
        <w:spacing w:after="0" w:line="240" w:lineRule="auto"/>
        <w:jc w:val="both"/>
        <w:rPr>
          <w:rFonts w:asciiTheme="majorHAnsi" w:hAnsiTheme="majorHAnsi" w:cs="Arial"/>
          <w:sz w:val="16"/>
          <w:szCs w:val="16"/>
          <w:lang w:val="es-ES_tradnl" w:eastAsia="es-ES"/>
        </w:rPr>
      </w:pPr>
    </w:p>
    <w:p w14:paraId="097B6A77" w14:textId="166E962D" w:rsidR="008F4BB4" w:rsidRPr="00506D99" w:rsidRDefault="008F4BB4" w:rsidP="00E20A73">
      <w:pPr>
        <w:pStyle w:val="Default"/>
        <w:numPr>
          <w:ilvl w:val="0"/>
          <w:numId w:val="55"/>
        </w:numPr>
        <w:spacing w:after="0" w:line="240" w:lineRule="auto"/>
        <w:jc w:val="both"/>
        <w:rPr>
          <w:rFonts w:asciiTheme="majorHAnsi" w:hAnsiTheme="majorHAnsi" w:cs="Arial"/>
          <w:sz w:val="16"/>
          <w:szCs w:val="16"/>
          <w:lang w:val="es-ES_tradnl" w:eastAsia="es-ES"/>
        </w:rPr>
      </w:pPr>
      <w:bookmarkStart w:id="0" w:name="_Hlk93663572"/>
      <w:r w:rsidRPr="00506D99">
        <w:rPr>
          <w:rFonts w:asciiTheme="majorHAnsi" w:hAnsiTheme="majorHAnsi" w:cs="Arial"/>
          <w:sz w:val="20"/>
          <w:szCs w:val="20"/>
          <w:lang w:val="es-ES_tradnl" w:eastAsia="es-ES"/>
        </w:rPr>
        <w:t>El 5 de agosto de 2011 la presunta víctima presentó una demanda ordinaria laboral contra COCESNA en la que solicitó el reintegro a su puesto de trabajo</w:t>
      </w:r>
      <w:r w:rsidR="00AD3649">
        <w:rPr>
          <w:rFonts w:asciiTheme="majorHAnsi" w:hAnsiTheme="majorHAnsi" w:cs="Arial"/>
          <w:sz w:val="20"/>
          <w:szCs w:val="20"/>
          <w:lang w:val="es-ES_tradnl" w:eastAsia="es-ES"/>
        </w:rPr>
        <w:t>,</w:t>
      </w:r>
      <w:r w:rsidR="00AC00A1" w:rsidRPr="00506D99">
        <w:rPr>
          <w:rFonts w:asciiTheme="majorHAnsi" w:hAnsiTheme="majorHAnsi" w:cs="Arial"/>
          <w:sz w:val="20"/>
          <w:szCs w:val="20"/>
          <w:lang w:val="es-ES_tradnl" w:eastAsia="es-ES"/>
        </w:rPr>
        <w:t xml:space="preserve"> </w:t>
      </w:r>
      <w:r w:rsidR="00AD3649">
        <w:rPr>
          <w:rFonts w:asciiTheme="majorHAnsi" w:hAnsiTheme="majorHAnsi" w:cs="Arial"/>
          <w:sz w:val="20"/>
          <w:szCs w:val="20"/>
          <w:lang w:val="es-ES_tradnl" w:eastAsia="es-ES"/>
        </w:rPr>
        <w:t xml:space="preserve">que </w:t>
      </w:r>
      <w:r w:rsidRPr="00506D99">
        <w:rPr>
          <w:rFonts w:asciiTheme="majorHAnsi" w:hAnsiTheme="majorHAnsi" w:cs="Arial"/>
          <w:sz w:val="20"/>
          <w:szCs w:val="20"/>
          <w:lang w:val="es-ES_tradnl" w:eastAsia="es-ES"/>
        </w:rPr>
        <w:t>fue admitida</w:t>
      </w:r>
      <w:r w:rsidR="00AD3649">
        <w:rPr>
          <w:rFonts w:asciiTheme="majorHAnsi" w:hAnsiTheme="majorHAnsi" w:cs="Arial"/>
          <w:sz w:val="20"/>
          <w:szCs w:val="20"/>
          <w:lang w:val="es-ES_tradnl" w:eastAsia="es-ES"/>
        </w:rPr>
        <w:t>.</w:t>
      </w:r>
      <w:r w:rsidRPr="00506D99">
        <w:rPr>
          <w:rFonts w:asciiTheme="majorHAnsi" w:hAnsiTheme="majorHAnsi" w:cs="Arial"/>
          <w:sz w:val="20"/>
          <w:szCs w:val="20"/>
          <w:lang w:val="es-ES_tradnl" w:eastAsia="es-ES"/>
        </w:rPr>
        <w:t xml:space="preserve"> COCESNA</w:t>
      </w:r>
      <w:r w:rsidR="003136B8" w:rsidRPr="00506D99">
        <w:rPr>
          <w:rFonts w:asciiTheme="majorHAnsi" w:hAnsiTheme="majorHAnsi" w:cs="Arial"/>
          <w:sz w:val="20"/>
          <w:szCs w:val="20"/>
          <w:lang w:val="es-ES_tradnl" w:eastAsia="es-ES"/>
        </w:rPr>
        <w:t xml:space="preserve"> interpuso un incidente de</w:t>
      </w:r>
      <w:r w:rsidRPr="00506D99">
        <w:rPr>
          <w:rFonts w:asciiTheme="majorHAnsi" w:hAnsiTheme="majorHAnsi" w:cs="Arial"/>
          <w:sz w:val="20"/>
          <w:szCs w:val="20"/>
          <w:lang w:val="es-ES_tradnl" w:eastAsia="es-ES"/>
        </w:rPr>
        <w:t xml:space="preserve"> declinatoria por falta de jurisdicción, </w:t>
      </w:r>
      <w:r w:rsidR="00AD3649">
        <w:rPr>
          <w:rFonts w:asciiTheme="majorHAnsi" w:hAnsiTheme="majorHAnsi" w:cs="Arial"/>
          <w:sz w:val="20"/>
          <w:szCs w:val="20"/>
          <w:lang w:val="es-ES_tradnl" w:eastAsia="es-ES"/>
        </w:rPr>
        <w:t>que</w:t>
      </w:r>
      <w:r w:rsidRPr="00506D99">
        <w:rPr>
          <w:rFonts w:asciiTheme="majorHAnsi" w:hAnsiTheme="majorHAnsi" w:cs="Arial"/>
          <w:sz w:val="20"/>
          <w:szCs w:val="20"/>
          <w:lang w:val="es-ES_tradnl" w:eastAsia="es-ES"/>
        </w:rPr>
        <w:t xml:space="preserve"> </w:t>
      </w:r>
      <w:r w:rsidR="00244671" w:rsidRPr="00506D99">
        <w:rPr>
          <w:rFonts w:asciiTheme="majorHAnsi" w:hAnsiTheme="majorHAnsi" w:cs="Arial"/>
          <w:sz w:val="20"/>
          <w:szCs w:val="20"/>
          <w:lang w:val="es-ES_tradnl" w:eastAsia="es-ES"/>
        </w:rPr>
        <w:t>fue declarado</w:t>
      </w:r>
      <w:r w:rsidRPr="00506D99">
        <w:rPr>
          <w:rFonts w:asciiTheme="majorHAnsi" w:hAnsiTheme="majorHAnsi" w:cs="Arial"/>
          <w:sz w:val="20"/>
          <w:szCs w:val="20"/>
          <w:lang w:val="es-ES_tradnl" w:eastAsia="es-ES"/>
        </w:rPr>
        <w:t xml:space="preserve"> sin lugar por el juzgado. </w:t>
      </w:r>
      <w:r w:rsidR="00AD3649">
        <w:rPr>
          <w:rFonts w:asciiTheme="majorHAnsi" w:hAnsiTheme="majorHAnsi" w:cs="Arial"/>
          <w:sz w:val="20"/>
          <w:szCs w:val="20"/>
          <w:lang w:val="es-ES_tradnl" w:eastAsia="es-ES"/>
        </w:rPr>
        <w:t xml:space="preserve">La decisión fue recurrida por </w:t>
      </w:r>
      <w:r w:rsidRPr="00506D99">
        <w:rPr>
          <w:rFonts w:asciiTheme="majorHAnsi" w:hAnsiTheme="majorHAnsi" w:cs="Arial"/>
          <w:sz w:val="20"/>
          <w:szCs w:val="20"/>
          <w:lang w:val="es-ES_tradnl" w:eastAsia="es-ES"/>
        </w:rPr>
        <w:t>COCESNA</w:t>
      </w:r>
      <w:r w:rsidR="00AD3649">
        <w:rPr>
          <w:rFonts w:asciiTheme="majorHAnsi" w:hAnsiTheme="majorHAnsi" w:cs="Arial"/>
          <w:sz w:val="20"/>
          <w:szCs w:val="20"/>
          <w:lang w:val="es-ES_tradnl" w:eastAsia="es-ES"/>
        </w:rPr>
        <w:t>,</w:t>
      </w:r>
      <w:r w:rsidR="00AC00A1" w:rsidRPr="00506D99">
        <w:rPr>
          <w:rFonts w:asciiTheme="majorHAnsi" w:hAnsiTheme="majorHAnsi" w:cs="Arial"/>
          <w:sz w:val="20"/>
          <w:szCs w:val="20"/>
          <w:lang w:val="es-ES_tradnl" w:eastAsia="es-ES"/>
        </w:rPr>
        <w:t xml:space="preserve"> </w:t>
      </w:r>
      <w:r w:rsidR="00C969C9">
        <w:rPr>
          <w:rFonts w:asciiTheme="majorHAnsi" w:hAnsiTheme="majorHAnsi" w:cs="Arial"/>
          <w:sz w:val="20"/>
          <w:szCs w:val="20"/>
          <w:lang w:val="es-ES_tradnl" w:eastAsia="es-ES"/>
        </w:rPr>
        <w:t xml:space="preserve">pero el recurso </w:t>
      </w:r>
      <w:r w:rsidRPr="00506D99">
        <w:rPr>
          <w:rFonts w:asciiTheme="majorHAnsi" w:hAnsiTheme="majorHAnsi" w:cs="Arial"/>
          <w:sz w:val="20"/>
          <w:szCs w:val="20"/>
          <w:lang w:val="es-ES_tradnl" w:eastAsia="es-ES"/>
        </w:rPr>
        <w:t>fue declarad</w:t>
      </w:r>
      <w:r w:rsidR="00C969C9">
        <w:rPr>
          <w:rFonts w:asciiTheme="majorHAnsi" w:hAnsiTheme="majorHAnsi" w:cs="Arial"/>
          <w:sz w:val="20"/>
          <w:szCs w:val="20"/>
          <w:lang w:val="es-ES_tradnl" w:eastAsia="es-ES"/>
        </w:rPr>
        <w:t>o</w:t>
      </w:r>
      <w:r w:rsidRPr="00506D99">
        <w:rPr>
          <w:rFonts w:asciiTheme="majorHAnsi" w:hAnsiTheme="majorHAnsi" w:cs="Arial"/>
          <w:sz w:val="20"/>
          <w:szCs w:val="20"/>
          <w:lang w:val="es-ES_tradnl" w:eastAsia="es-ES"/>
        </w:rPr>
        <w:t xml:space="preserve"> sin lugar el 23 de febrero de 2012. Luego, COCESNA </w:t>
      </w:r>
      <w:r w:rsidR="0013063E" w:rsidRPr="00506D99">
        <w:rPr>
          <w:rFonts w:asciiTheme="majorHAnsi" w:hAnsiTheme="majorHAnsi" w:cs="Arial"/>
          <w:sz w:val="20"/>
          <w:szCs w:val="20"/>
          <w:lang w:val="es-ES_tradnl" w:eastAsia="es-ES"/>
        </w:rPr>
        <w:t>interpuso</w:t>
      </w:r>
      <w:r w:rsidR="00E42A13" w:rsidRPr="00506D99">
        <w:rPr>
          <w:rFonts w:asciiTheme="majorHAnsi" w:hAnsiTheme="majorHAnsi" w:cs="Arial"/>
          <w:sz w:val="20"/>
          <w:szCs w:val="20"/>
          <w:lang w:val="es-ES_tradnl" w:eastAsia="es-ES"/>
        </w:rPr>
        <w:t xml:space="preserve"> un</w:t>
      </w:r>
      <w:r w:rsidR="0013063E" w:rsidRPr="00506D99">
        <w:rPr>
          <w:rFonts w:asciiTheme="majorHAnsi" w:hAnsiTheme="majorHAnsi" w:cs="Arial"/>
          <w:sz w:val="20"/>
          <w:szCs w:val="20"/>
          <w:lang w:val="es-ES_tradnl" w:eastAsia="es-ES"/>
        </w:rPr>
        <w:t xml:space="preserve"> recurso de amparo ante la Corte Suprema de Justicia contra la resolución que declaró sin lugar su apelación. El Ministerio Público</w:t>
      </w:r>
      <w:r w:rsidR="00E42A13" w:rsidRPr="00506D99">
        <w:rPr>
          <w:rFonts w:asciiTheme="majorHAnsi" w:hAnsiTheme="majorHAnsi" w:cs="Arial"/>
          <w:sz w:val="20"/>
          <w:szCs w:val="20"/>
          <w:lang w:val="es-ES_tradnl" w:eastAsia="es-ES"/>
        </w:rPr>
        <w:t>, por su parte,</w:t>
      </w:r>
      <w:r w:rsidR="0013063E" w:rsidRPr="00506D99">
        <w:rPr>
          <w:rFonts w:asciiTheme="majorHAnsi" w:hAnsiTheme="majorHAnsi" w:cs="Arial"/>
          <w:sz w:val="20"/>
          <w:szCs w:val="20"/>
          <w:lang w:val="es-ES_tradnl" w:eastAsia="es-ES"/>
        </w:rPr>
        <w:t xml:space="preserve"> emitió </w:t>
      </w:r>
      <w:r w:rsidR="00E42A13" w:rsidRPr="00506D99">
        <w:rPr>
          <w:rFonts w:asciiTheme="majorHAnsi" w:hAnsiTheme="majorHAnsi" w:cs="Arial"/>
          <w:sz w:val="20"/>
          <w:szCs w:val="20"/>
          <w:lang w:val="es-ES_tradnl" w:eastAsia="es-ES"/>
        </w:rPr>
        <w:t xml:space="preserve">un </w:t>
      </w:r>
      <w:r w:rsidR="0013063E" w:rsidRPr="00506D99">
        <w:rPr>
          <w:rFonts w:asciiTheme="majorHAnsi" w:hAnsiTheme="majorHAnsi" w:cs="Arial"/>
          <w:sz w:val="20"/>
          <w:szCs w:val="20"/>
          <w:lang w:val="es-ES_tradnl" w:eastAsia="es-ES"/>
        </w:rPr>
        <w:t xml:space="preserve">dictamen </w:t>
      </w:r>
      <w:r w:rsidR="00C969C9">
        <w:rPr>
          <w:rFonts w:asciiTheme="majorHAnsi" w:hAnsiTheme="majorHAnsi" w:cs="Arial"/>
          <w:sz w:val="20"/>
          <w:szCs w:val="20"/>
          <w:lang w:val="es-ES_tradnl" w:eastAsia="es-ES"/>
        </w:rPr>
        <w:t xml:space="preserve">en que </w:t>
      </w:r>
      <w:r w:rsidR="0013063E" w:rsidRPr="00506D99">
        <w:rPr>
          <w:rFonts w:asciiTheme="majorHAnsi" w:hAnsiTheme="majorHAnsi" w:cs="Arial"/>
          <w:sz w:val="20"/>
          <w:szCs w:val="20"/>
          <w:lang w:val="es-ES_tradnl" w:eastAsia="es-ES"/>
        </w:rPr>
        <w:t>indic</w:t>
      </w:r>
      <w:r w:rsidR="00C969C9">
        <w:rPr>
          <w:rFonts w:asciiTheme="majorHAnsi" w:hAnsiTheme="majorHAnsi" w:cs="Arial"/>
          <w:sz w:val="20"/>
          <w:szCs w:val="20"/>
          <w:lang w:val="es-ES_tradnl" w:eastAsia="es-ES"/>
        </w:rPr>
        <w:t>ó</w:t>
      </w:r>
      <w:r w:rsidR="0013063E" w:rsidRPr="00506D99">
        <w:rPr>
          <w:rFonts w:asciiTheme="majorHAnsi" w:hAnsiTheme="majorHAnsi" w:cs="Arial"/>
          <w:sz w:val="20"/>
          <w:szCs w:val="20"/>
          <w:lang w:val="es-ES_tradnl" w:eastAsia="es-ES"/>
        </w:rPr>
        <w:t xml:space="preserve"> que consideraba improcedente la acción de amparo. Sin embargo, el 20 de agosto de 2013 la Corte Suprema de Justicia otorgó el amparo solicitado por COCESNA</w:t>
      </w:r>
      <w:bookmarkStart w:id="1" w:name="_Hlk93663171"/>
      <w:r w:rsidR="0001561E">
        <w:rPr>
          <w:rStyle w:val="FootnoteReference"/>
          <w:rFonts w:asciiTheme="majorHAnsi" w:hAnsiTheme="majorHAnsi"/>
          <w:sz w:val="20"/>
          <w:szCs w:val="20"/>
          <w:lang w:val="es-ES_tradnl" w:eastAsia="es-ES"/>
        </w:rPr>
        <w:footnoteReference w:id="5"/>
      </w:r>
      <w:r w:rsidR="0013063E" w:rsidRPr="00506D99">
        <w:rPr>
          <w:rFonts w:asciiTheme="majorHAnsi" w:hAnsiTheme="majorHAnsi" w:cs="Arial"/>
          <w:sz w:val="20"/>
          <w:szCs w:val="20"/>
          <w:lang w:val="es-ES_tradnl" w:eastAsia="es-ES"/>
        </w:rPr>
        <w:t>.</w:t>
      </w:r>
      <w:r w:rsidR="005316EF" w:rsidRPr="00506D99">
        <w:rPr>
          <w:rFonts w:asciiTheme="majorHAnsi" w:hAnsiTheme="majorHAnsi" w:cs="Arial"/>
          <w:sz w:val="20"/>
          <w:szCs w:val="20"/>
          <w:lang w:val="es-ES_tradnl" w:eastAsia="es-ES"/>
        </w:rPr>
        <w:t xml:space="preserve"> </w:t>
      </w:r>
      <w:bookmarkEnd w:id="1"/>
    </w:p>
    <w:bookmarkEnd w:id="0"/>
    <w:p w14:paraId="25272FD2" w14:textId="77777777" w:rsidR="00E20A73" w:rsidRPr="00506D99" w:rsidRDefault="00E20A73" w:rsidP="00E20A73">
      <w:pPr>
        <w:pStyle w:val="Default"/>
        <w:spacing w:after="0" w:line="240" w:lineRule="auto"/>
        <w:jc w:val="both"/>
        <w:rPr>
          <w:rFonts w:asciiTheme="majorHAnsi" w:hAnsiTheme="majorHAnsi" w:cs="Arial"/>
          <w:sz w:val="16"/>
          <w:szCs w:val="16"/>
          <w:lang w:val="es-ES_tradnl" w:eastAsia="es-ES"/>
        </w:rPr>
      </w:pPr>
    </w:p>
    <w:p w14:paraId="5C1F64BB" w14:textId="4DFDA970" w:rsidR="00244671" w:rsidRPr="00506D99" w:rsidRDefault="00D07FD0" w:rsidP="00E20A73">
      <w:pPr>
        <w:pStyle w:val="Default"/>
        <w:numPr>
          <w:ilvl w:val="0"/>
          <w:numId w:val="55"/>
        </w:numPr>
        <w:spacing w:after="0" w:line="240" w:lineRule="auto"/>
        <w:jc w:val="both"/>
        <w:rPr>
          <w:rFonts w:asciiTheme="majorHAnsi" w:hAnsiTheme="majorHAnsi" w:cs="Arial"/>
          <w:sz w:val="16"/>
          <w:szCs w:val="16"/>
          <w:lang w:val="es-ES_tradnl" w:eastAsia="es-ES"/>
        </w:rPr>
      </w:pPr>
      <w:r w:rsidRPr="00506D99">
        <w:rPr>
          <w:rFonts w:asciiTheme="majorHAnsi" w:hAnsiTheme="majorHAnsi" w:cs="Arial"/>
          <w:sz w:val="20"/>
          <w:szCs w:val="20"/>
          <w:lang w:val="es-ES_tradnl" w:eastAsia="es-ES"/>
        </w:rPr>
        <w:t xml:space="preserve">La presunta víctima interpuso un recurso de revisión contra la sentencia de amparo favorable a COCESNA, </w:t>
      </w:r>
      <w:r w:rsidR="00402490">
        <w:rPr>
          <w:rFonts w:asciiTheme="majorHAnsi" w:hAnsiTheme="majorHAnsi" w:cs="Arial"/>
          <w:sz w:val="20"/>
          <w:szCs w:val="20"/>
          <w:lang w:val="es-ES_tradnl" w:eastAsia="es-ES"/>
        </w:rPr>
        <w:t>que</w:t>
      </w:r>
      <w:r w:rsidRPr="00506D99">
        <w:rPr>
          <w:rFonts w:asciiTheme="majorHAnsi" w:hAnsiTheme="majorHAnsi" w:cs="Arial"/>
          <w:sz w:val="20"/>
          <w:szCs w:val="20"/>
          <w:lang w:val="es-ES_tradnl" w:eastAsia="es-ES"/>
        </w:rPr>
        <w:t xml:space="preserve"> fue declarado sin lugar el 12 de septiembre de 2013. El 4 de noviembre de 2013 la Corte de Apelaciones del </w:t>
      </w:r>
      <w:r w:rsidR="00402490">
        <w:rPr>
          <w:rFonts w:asciiTheme="majorHAnsi" w:hAnsiTheme="majorHAnsi" w:cs="Arial"/>
          <w:sz w:val="20"/>
          <w:szCs w:val="20"/>
          <w:lang w:val="es-ES_tradnl" w:eastAsia="es-ES"/>
        </w:rPr>
        <w:t>T</w:t>
      </w:r>
      <w:r w:rsidRPr="00506D99">
        <w:rPr>
          <w:rFonts w:asciiTheme="majorHAnsi" w:hAnsiTheme="majorHAnsi" w:cs="Arial"/>
          <w:sz w:val="20"/>
          <w:szCs w:val="20"/>
          <w:lang w:val="es-ES_tradnl" w:eastAsia="es-ES"/>
        </w:rPr>
        <w:t xml:space="preserve">rabajo emitió </w:t>
      </w:r>
      <w:r w:rsidR="00402490">
        <w:rPr>
          <w:rFonts w:asciiTheme="majorHAnsi" w:hAnsiTheme="majorHAnsi" w:cs="Arial"/>
          <w:sz w:val="20"/>
          <w:szCs w:val="20"/>
          <w:lang w:val="es-ES_tradnl" w:eastAsia="es-ES"/>
        </w:rPr>
        <w:t xml:space="preserve">una </w:t>
      </w:r>
      <w:r w:rsidRPr="00506D99">
        <w:rPr>
          <w:rFonts w:asciiTheme="majorHAnsi" w:hAnsiTheme="majorHAnsi" w:cs="Arial"/>
          <w:sz w:val="20"/>
          <w:szCs w:val="20"/>
          <w:lang w:val="es-ES_tradnl" w:eastAsia="es-ES"/>
        </w:rPr>
        <w:t xml:space="preserve">nueva sentencia </w:t>
      </w:r>
      <w:r w:rsidR="00402490">
        <w:rPr>
          <w:rFonts w:asciiTheme="majorHAnsi" w:hAnsiTheme="majorHAnsi" w:cs="Arial"/>
          <w:sz w:val="20"/>
          <w:szCs w:val="20"/>
          <w:lang w:val="es-ES_tradnl" w:eastAsia="es-ES"/>
        </w:rPr>
        <w:t xml:space="preserve">en </w:t>
      </w:r>
      <w:r w:rsidRPr="00506D99">
        <w:rPr>
          <w:rFonts w:asciiTheme="majorHAnsi" w:hAnsiTheme="majorHAnsi" w:cs="Arial"/>
          <w:sz w:val="20"/>
          <w:szCs w:val="20"/>
          <w:lang w:val="es-ES_tradnl" w:eastAsia="es-ES"/>
        </w:rPr>
        <w:t xml:space="preserve">cumplimiento </w:t>
      </w:r>
      <w:r w:rsidR="00402490">
        <w:rPr>
          <w:rFonts w:asciiTheme="majorHAnsi" w:hAnsiTheme="majorHAnsi" w:cs="Arial"/>
          <w:sz w:val="20"/>
          <w:szCs w:val="20"/>
          <w:lang w:val="es-ES_tradnl" w:eastAsia="es-ES"/>
        </w:rPr>
        <w:t>de</w:t>
      </w:r>
      <w:r w:rsidRPr="00506D99">
        <w:rPr>
          <w:rFonts w:asciiTheme="majorHAnsi" w:hAnsiTheme="majorHAnsi" w:cs="Arial"/>
          <w:sz w:val="20"/>
          <w:szCs w:val="20"/>
          <w:lang w:val="es-ES_tradnl" w:eastAsia="es-ES"/>
        </w:rPr>
        <w:t xml:space="preserve"> lo decidido en la sentencia de amparo</w:t>
      </w:r>
      <w:r w:rsidR="0064556D">
        <w:rPr>
          <w:rFonts w:asciiTheme="majorHAnsi" w:hAnsiTheme="majorHAnsi" w:cs="Arial"/>
          <w:sz w:val="20"/>
          <w:szCs w:val="20"/>
          <w:lang w:val="es-ES_tradnl" w:eastAsia="es-ES"/>
        </w:rPr>
        <w:t>, en la que</w:t>
      </w:r>
      <w:r w:rsidRPr="00506D99">
        <w:rPr>
          <w:rFonts w:asciiTheme="majorHAnsi" w:hAnsiTheme="majorHAnsi" w:cs="Arial"/>
          <w:sz w:val="20"/>
          <w:szCs w:val="20"/>
          <w:lang w:val="es-ES_tradnl" w:eastAsia="es-ES"/>
        </w:rPr>
        <w:t xml:space="preserve"> </w:t>
      </w:r>
      <w:r w:rsidR="0064556D">
        <w:rPr>
          <w:rFonts w:asciiTheme="majorHAnsi" w:hAnsiTheme="majorHAnsi" w:cs="Arial"/>
          <w:sz w:val="20"/>
          <w:szCs w:val="20"/>
          <w:lang w:val="es-ES_tradnl" w:eastAsia="es-ES"/>
        </w:rPr>
        <w:t xml:space="preserve">hizo </w:t>
      </w:r>
      <w:r w:rsidRPr="00506D99">
        <w:rPr>
          <w:rFonts w:asciiTheme="majorHAnsi" w:hAnsiTheme="majorHAnsi" w:cs="Arial"/>
          <w:sz w:val="20"/>
          <w:szCs w:val="20"/>
          <w:lang w:val="es-ES_tradnl" w:eastAsia="es-ES"/>
        </w:rPr>
        <w:t xml:space="preserve">lugar </w:t>
      </w:r>
      <w:r w:rsidR="0064556D">
        <w:rPr>
          <w:rFonts w:asciiTheme="majorHAnsi" w:hAnsiTheme="majorHAnsi" w:cs="Arial"/>
          <w:sz w:val="20"/>
          <w:szCs w:val="20"/>
          <w:lang w:val="es-ES_tradnl" w:eastAsia="es-ES"/>
        </w:rPr>
        <w:t>a</w:t>
      </w:r>
      <w:r w:rsidRPr="00506D99">
        <w:rPr>
          <w:rFonts w:asciiTheme="majorHAnsi" w:hAnsiTheme="majorHAnsi" w:cs="Arial"/>
          <w:sz w:val="20"/>
          <w:szCs w:val="20"/>
          <w:lang w:val="es-ES_tradnl" w:eastAsia="es-ES"/>
        </w:rPr>
        <w:t>l incidente de declinatoria interpuesto por COCESNA. Según</w:t>
      </w:r>
      <w:r w:rsidR="0064556D">
        <w:rPr>
          <w:rFonts w:asciiTheme="majorHAnsi" w:hAnsiTheme="majorHAnsi" w:cs="Arial"/>
          <w:sz w:val="20"/>
          <w:szCs w:val="20"/>
          <w:lang w:val="es-ES_tradnl" w:eastAsia="es-ES"/>
        </w:rPr>
        <w:t xml:space="preserve"> el peticionario, </w:t>
      </w:r>
      <w:r w:rsidRPr="00506D99">
        <w:rPr>
          <w:rFonts w:asciiTheme="majorHAnsi" w:hAnsiTheme="majorHAnsi" w:cs="Arial"/>
          <w:sz w:val="20"/>
          <w:szCs w:val="20"/>
          <w:lang w:val="es-ES_tradnl" w:eastAsia="es-ES"/>
        </w:rPr>
        <w:t xml:space="preserve">esta decisión cerró definitivamente a la presunta víctima la posibilidad de acudir a la justicia laboral hondureña para la tutela de sus derechos laborales conculcados. </w:t>
      </w:r>
    </w:p>
    <w:p w14:paraId="47305883" w14:textId="32DDECA1" w:rsidR="00244671" w:rsidRPr="00506D99" w:rsidRDefault="00244671" w:rsidP="00E20A73">
      <w:pPr>
        <w:pStyle w:val="Default"/>
        <w:spacing w:after="0" w:line="240" w:lineRule="auto"/>
        <w:jc w:val="both"/>
        <w:rPr>
          <w:rFonts w:asciiTheme="majorHAnsi" w:hAnsiTheme="majorHAnsi" w:cs="Arial"/>
          <w:sz w:val="16"/>
          <w:szCs w:val="16"/>
          <w:lang w:val="es-ES_tradnl" w:eastAsia="es-ES"/>
        </w:rPr>
      </w:pPr>
    </w:p>
    <w:p w14:paraId="003D296E" w14:textId="2881C883" w:rsidR="00E57A4F" w:rsidRPr="00506D99" w:rsidRDefault="0064556D" w:rsidP="00E20A73">
      <w:pPr>
        <w:pStyle w:val="Default"/>
        <w:numPr>
          <w:ilvl w:val="0"/>
          <w:numId w:val="55"/>
        </w:numPr>
        <w:spacing w:after="0" w:line="240" w:lineRule="auto"/>
        <w:jc w:val="both"/>
        <w:rPr>
          <w:rFonts w:asciiTheme="majorHAnsi" w:hAnsiTheme="majorHAnsi" w:cs="Arial"/>
          <w:sz w:val="16"/>
          <w:szCs w:val="16"/>
          <w:lang w:val="es-ES_tradnl" w:eastAsia="es-ES"/>
        </w:rPr>
      </w:pPr>
      <w:r>
        <w:rPr>
          <w:rFonts w:asciiTheme="majorHAnsi" w:hAnsiTheme="majorHAnsi" w:cs="Arial"/>
          <w:sz w:val="20"/>
          <w:szCs w:val="20"/>
          <w:lang w:val="es-ES_tradnl" w:eastAsia="es-ES"/>
        </w:rPr>
        <w:t xml:space="preserve">El </w:t>
      </w:r>
      <w:r w:rsidR="00244671" w:rsidRPr="00506D99">
        <w:rPr>
          <w:rFonts w:asciiTheme="majorHAnsi" w:hAnsiTheme="majorHAnsi" w:cs="Arial"/>
          <w:sz w:val="20"/>
          <w:szCs w:val="20"/>
          <w:lang w:val="es-ES_tradnl" w:eastAsia="es-ES"/>
        </w:rPr>
        <w:t>peticionari</w:t>
      </w:r>
      <w:r>
        <w:rPr>
          <w:rFonts w:asciiTheme="majorHAnsi" w:hAnsiTheme="majorHAnsi" w:cs="Arial"/>
          <w:sz w:val="20"/>
          <w:szCs w:val="20"/>
          <w:lang w:val="es-ES_tradnl" w:eastAsia="es-ES"/>
        </w:rPr>
        <w:t>o</w:t>
      </w:r>
      <w:r w:rsidR="00244671" w:rsidRPr="00506D99">
        <w:rPr>
          <w:rFonts w:asciiTheme="majorHAnsi" w:hAnsiTheme="majorHAnsi" w:cs="Arial"/>
          <w:sz w:val="20"/>
          <w:szCs w:val="20"/>
          <w:lang w:val="es-ES_tradnl" w:eastAsia="es-ES"/>
        </w:rPr>
        <w:t xml:space="preserve"> </w:t>
      </w:r>
      <w:r>
        <w:rPr>
          <w:rFonts w:asciiTheme="majorHAnsi" w:hAnsiTheme="majorHAnsi" w:cs="Arial"/>
          <w:sz w:val="20"/>
          <w:szCs w:val="20"/>
          <w:lang w:val="es-ES_tradnl" w:eastAsia="es-ES"/>
        </w:rPr>
        <w:t xml:space="preserve">alega </w:t>
      </w:r>
      <w:r w:rsidR="00244671" w:rsidRPr="00506D99">
        <w:rPr>
          <w:rFonts w:asciiTheme="majorHAnsi" w:hAnsiTheme="majorHAnsi" w:cs="Arial"/>
          <w:sz w:val="20"/>
          <w:szCs w:val="20"/>
          <w:lang w:val="es-ES_tradnl" w:eastAsia="es-ES"/>
        </w:rPr>
        <w:t xml:space="preserve">que al conceder </w:t>
      </w:r>
      <w:r w:rsidR="00CD18E0" w:rsidRPr="00506D99">
        <w:rPr>
          <w:rFonts w:asciiTheme="majorHAnsi" w:hAnsiTheme="majorHAnsi" w:cs="Arial"/>
          <w:sz w:val="20"/>
          <w:szCs w:val="20"/>
          <w:lang w:val="es-ES_tradnl" w:eastAsia="es-ES"/>
        </w:rPr>
        <w:t xml:space="preserve">el </w:t>
      </w:r>
      <w:r w:rsidR="00244671" w:rsidRPr="00506D99">
        <w:rPr>
          <w:rFonts w:asciiTheme="majorHAnsi" w:hAnsiTheme="majorHAnsi" w:cs="Arial"/>
          <w:sz w:val="20"/>
          <w:szCs w:val="20"/>
          <w:lang w:val="es-ES_tradnl" w:eastAsia="es-ES"/>
        </w:rPr>
        <w:t>amparo a favor de</w:t>
      </w:r>
      <w:r w:rsidR="00C53C58" w:rsidRPr="00C53C58">
        <w:rPr>
          <w:rFonts w:asciiTheme="majorHAnsi" w:hAnsiTheme="majorHAnsi" w:cs="Arial"/>
          <w:sz w:val="20"/>
          <w:szCs w:val="20"/>
          <w:lang w:val="es-ES_tradnl" w:eastAsia="es-ES"/>
        </w:rPr>
        <w:t xml:space="preserve"> </w:t>
      </w:r>
      <w:r w:rsidR="00C53C58" w:rsidRPr="00506D99">
        <w:rPr>
          <w:rFonts w:asciiTheme="majorHAnsi" w:hAnsiTheme="majorHAnsi" w:cs="Arial"/>
          <w:sz w:val="20"/>
          <w:szCs w:val="20"/>
          <w:lang w:val="es-ES_tradnl" w:eastAsia="es-ES"/>
        </w:rPr>
        <w:t>COCESNA</w:t>
      </w:r>
      <w:r w:rsidR="00CD18E0" w:rsidRPr="00506D99">
        <w:rPr>
          <w:rFonts w:asciiTheme="majorHAnsi" w:hAnsiTheme="majorHAnsi" w:cs="Arial"/>
          <w:sz w:val="20"/>
          <w:szCs w:val="20"/>
          <w:lang w:val="es-ES_tradnl" w:eastAsia="es-ES"/>
        </w:rPr>
        <w:t>,</w:t>
      </w:r>
      <w:r w:rsidR="00244671" w:rsidRPr="00506D99">
        <w:rPr>
          <w:rFonts w:asciiTheme="majorHAnsi" w:hAnsiTheme="majorHAnsi" w:cs="Arial"/>
          <w:sz w:val="20"/>
          <w:szCs w:val="20"/>
          <w:lang w:val="es-ES_tradnl" w:eastAsia="es-ES"/>
        </w:rPr>
        <w:t xml:space="preserve"> la Corte Suprema ignoró que </w:t>
      </w:r>
      <w:r w:rsidR="00C53C58">
        <w:rPr>
          <w:rFonts w:asciiTheme="majorHAnsi" w:hAnsiTheme="majorHAnsi" w:cs="Arial"/>
          <w:sz w:val="20"/>
          <w:szCs w:val="20"/>
          <w:lang w:val="es-ES_tradnl" w:eastAsia="es-ES"/>
        </w:rPr>
        <w:t>dicha organización</w:t>
      </w:r>
      <w:r w:rsidR="00244671" w:rsidRPr="00506D99">
        <w:rPr>
          <w:rFonts w:asciiTheme="majorHAnsi" w:hAnsiTheme="majorHAnsi" w:cs="Arial"/>
          <w:sz w:val="20"/>
          <w:szCs w:val="20"/>
          <w:lang w:val="es-ES_tradnl" w:eastAsia="es-ES"/>
        </w:rPr>
        <w:t xml:space="preserve"> había renunciado a </w:t>
      </w:r>
      <w:r w:rsidR="00CD18E0" w:rsidRPr="00506D99">
        <w:rPr>
          <w:rFonts w:asciiTheme="majorHAnsi" w:hAnsiTheme="majorHAnsi" w:cs="Arial"/>
          <w:sz w:val="20"/>
          <w:szCs w:val="20"/>
          <w:lang w:val="es-ES_tradnl" w:eastAsia="es-ES"/>
        </w:rPr>
        <w:t>la</w:t>
      </w:r>
      <w:r w:rsidR="00244671" w:rsidRPr="00506D99">
        <w:rPr>
          <w:rFonts w:asciiTheme="majorHAnsi" w:hAnsiTheme="majorHAnsi" w:cs="Arial"/>
          <w:sz w:val="20"/>
          <w:szCs w:val="20"/>
          <w:lang w:val="es-ES_tradnl" w:eastAsia="es-ES"/>
        </w:rPr>
        <w:t xml:space="preserve"> inmunidad de jurisdicción en lo relativo a temas laborales</w:t>
      </w:r>
      <w:r w:rsidR="00CD18E0" w:rsidRPr="00506D99">
        <w:rPr>
          <w:rFonts w:asciiTheme="majorHAnsi" w:hAnsiTheme="majorHAnsi" w:cs="Arial"/>
          <w:sz w:val="20"/>
          <w:szCs w:val="20"/>
          <w:lang w:val="es-ES_tradnl" w:eastAsia="es-ES"/>
        </w:rPr>
        <w:t>,</w:t>
      </w:r>
      <w:r w:rsidR="00244671" w:rsidRPr="00506D99">
        <w:rPr>
          <w:rFonts w:asciiTheme="majorHAnsi" w:hAnsiTheme="majorHAnsi" w:cs="Arial"/>
          <w:sz w:val="20"/>
          <w:szCs w:val="20"/>
          <w:lang w:val="es-ES_tradnl" w:eastAsia="es-ES"/>
        </w:rPr>
        <w:t xml:space="preserve"> </w:t>
      </w:r>
      <w:r w:rsidR="00C53C58">
        <w:rPr>
          <w:rFonts w:asciiTheme="majorHAnsi" w:hAnsiTheme="majorHAnsi" w:cs="Arial"/>
          <w:sz w:val="20"/>
          <w:szCs w:val="20"/>
          <w:lang w:val="es-ES_tradnl" w:eastAsia="es-ES"/>
        </w:rPr>
        <w:t xml:space="preserve">ya que </w:t>
      </w:r>
      <w:r w:rsidR="00CD18E0" w:rsidRPr="00506D99">
        <w:rPr>
          <w:rFonts w:asciiTheme="majorHAnsi" w:hAnsiTheme="majorHAnsi" w:cs="Arial"/>
          <w:sz w:val="20"/>
          <w:szCs w:val="20"/>
          <w:lang w:val="es-ES_tradnl" w:eastAsia="es-ES"/>
        </w:rPr>
        <w:t xml:space="preserve">el 6 de diciembre de 2004 </w:t>
      </w:r>
      <w:r w:rsidR="00244671" w:rsidRPr="00506D99">
        <w:rPr>
          <w:rFonts w:asciiTheme="majorHAnsi" w:hAnsiTheme="majorHAnsi" w:cs="Arial"/>
          <w:sz w:val="20"/>
          <w:szCs w:val="20"/>
          <w:lang w:val="es-ES_tradnl" w:eastAsia="es-ES"/>
        </w:rPr>
        <w:t xml:space="preserve">registró un reglamento interno de trabajo ante </w:t>
      </w:r>
      <w:r w:rsidR="00F97F4D" w:rsidRPr="00506D99">
        <w:rPr>
          <w:rFonts w:asciiTheme="majorHAnsi" w:hAnsiTheme="majorHAnsi" w:cs="Arial"/>
          <w:sz w:val="20"/>
          <w:szCs w:val="20"/>
          <w:lang w:val="es-ES_tradnl" w:eastAsia="es-ES"/>
        </w:rPr>
        <w:t>la Secretaría</w:t>
      </w:r>
      <w:r w:rsidR="00244671" w:rsidRPr="00506D99">
        <w:rPr>
          <w:rFonts w:asciiTheme="majorHAnsi" w:hAnsiTheme="majorHAnsi" w:cs="Arial"/>
          <w:sz w:val="20"/>
          <w:szCs w:val="20"/>
          <w:lang w:val="es-ES_tradnl" w:eastAsia="es-ES"/>
        </w:rPr>
        <w:t xml:space="preserve"> de Trabajo y Seguridad Social de Honduras</w:t>
      </w:r>
      <w:r w:rsidR="00F85AA7" w:rsidRPr="00506D99">
        <w:rPr>
          <w:rFonts w:asciiTheme="majorHAnsi" w:hAnsiTheme="majorHAnsi" w:cs="Arial"/>
          <w:sz w:val="20"/>
          <w:szCs w:val="20"/>
          <w:lang w:val="es-ES_tradnl" w:eastAsia="es-ES"/>
        </w:rPr>
        <w:t>;</w:t>
      </w:r>
      <w:r w:rsidR="00C53C58">
        <w:rPr>
          <w:rFonts w:asciiTheme="majorHAnsi" w:hAnsiTheme="majorHAnsi" w:cs="Arial"/>
          <w:sz w:val="20"/>
          <w:szCs w:val="20"/>
          <w:lang w:val="es-ES_tradnl" w:eastAsia="es-ES"/>
        </w:rPr>
        <w:t xml:space="preserve"> y que</w:t>
      </w:r>
      <w:r w:rsidR="00244671" w:rsidRPr="00506D99">
        <w:rPr>
          <w:rFonts w:asciiTheme="majorHAnsi" w:hAnsiTheme="majorHAnsi" w:cs="Arial"/>
          <w:sz w:val="20"/>
          <w:szCs w:val="20"/>
          <w:lang w:val="es-ES_tradnl" w:eastAsia="es-ES"/>
        </w:rPr>
        <w:t xml:space="preserve"> </w:t>
      </w:r>
      <w:r w:rsidR="00C53C58">
        <w:rPr>
          <w:rFonts w:asciiTheme="majorHAnsi" w:hAnsiTheme="majorHAnsi" w:cs="Arial"/>
          <w:sz w:val="20"/>
          <w:szCs w:val="20"/>
          <w:lang w:val="es-ES_tradnl" w:eastAsia="es-ES"/>
        </w:rPr>
        <w:t xml:space="preserve">dicho </w:t>
      </w:r>
      <w:r w:rsidR="00244671" w:rsidRPr="00506D99">
        <w:rPr>
          <w:rFonts w:asciiTheme="majorHAnsi" w:hAnsiTheme="majorHAnsi" w:cs="Arial"/>
          <w:sz w:val="20"/>
          <w:szCs w:val="20"/>
          <w:lang w:val="es-ES_tradnl" w:eastAsia="es-ES"/>
        </w:rPr>
        <w:t xml:space="preserve">reglamento estaba vigente </w:t>
      </w:r>
      <w:r w:rsidR="00C53C58">
        <w:rPr>
          <w:rFonts w:asciiTheme="majorHAnsi" w:hAnsiTheme="majorHAnsi" w:cs="Arial"/>
          <w:sz w:val="20"/>
          <w:szCs w:val="20"/>
          <w:lang w:val="es-ES_tradnl" w:eastAsia="es-ES"/>
        </w:rPr>
        <w:t>en e</w:t>
      </w:r>
      <w:r w:rsidR="00244671" w:rsidRPr="00506D99">
        <w:rPr>
          <w:rFonts w:asciiTheme="majorHAnsi" w:hAnsiTheme="majorHAnsi" w:cs="Arial"/>
          <w:sz w:val="20"/>
          <w:szCs w:val="20"/>
          <w:lang w:val="es-ES_tradnl" w:eastAsia="es-ES"/>
        </w:rPr>
        <w:t xml:space="preserve">l momento en que los tribunales decidieron el caso de la presunta víctima. </w:t>
      </w:r>
      <w:r w:rsidR="00C53C58">
        <w:rPr>
          <w:rFonts w:asciiTheme="majorHAnsi" w:hAnsiTheme="majorHAnsi" w:cs="Arial"/>
          <w:sz w:val="20"/>
          <w:szCs w:val="20"/>
          <w:lang w:val="es-ES_tradnl" w:eastAsia="es-ES"/>
        </w:rPr>
        <w:t>Agrega</w:t>
      </w:r>
      <w:r w:rsidR="00647815" w:rsidRPr="00506D99">
        <w:rPr>
          <w:rFonts w:asciiTheme="majorHAnsi" w:hAnsiTheme="majorHAnsi" w:cs="Arial"/>
          <w:sz w:val="20"/>
          <w:szCs w:val="20"/>
          <w:lang w:val="es-ES_tradnl" w:eastAsia="es-ES"/>
        </w:rPr>
        <w:t xml:space="preserve"> que el reglamento se mantuvo vigente hasta 2019 y rechaza </w:t>
      </w:r>
      <w:r w:rsidR="00C53C58">
        <w:rPr>
          <w:rFonts w:asciiTheme="majorHAnsi" w:hAnsiTheme="majorHAnsi" w:cs="Arial"/>
          <w:sz w:val="20"/>
          <w:szCs w:val="20"/>
          <w:lang w:val="es-ES_tradnl" w:eastAsia="es-ES"/>
        </w:rPr>
        <w:t xml:space="preserve">el argumento de </w:t>
      </w:r>
      <w:r w:rsidR="00C53C58" w:rsidRPr="00506D99">
        <w:rPr>
          <w:rFonts w:asciiTheme="majorHAnsi" w:hAnsiTheme="majorHAnsi" w:cs="Arial"/>
          <w:sz w:val="20"/>
          <w:szCs w:val="20"/>
          <w:lang w:val="es-ES_tradnl" w:eastAsia="es-ES"/>
        </w:rPr>
        <w:t xml:space="preserve">que COCESNA no aceptó someterse a la justicia laboral hondureña </w:t>
      </w:r>
      <w:r w:rsidR="00C53C58">
        <w:rPr>
          <w:rFonts w:asciiTheme="majorHAnsi" w:hAnsiTheme="majorHAnsi" w:cs="Arial"/>
          <w:sz w:val="20"/>
          <w:szCs w:val="20"/>
          <w:lang w:val="es-ES_tradnl" w:eastAsia="es-ES"/>
        </w:rPr>
        <w:t xml:space="preserve">por </w:t>
      </w:r>
      <w:r w:rsidR="00647815" w:rsidRPr="00506D99">
        <w:rPr>
          <w:rFonts w:asciiTheme="majorHAnsi" w:hAnsiTheme="majorHAnsi" w:cs="Arial"/>
          <w:sz w:val="20"/>
          <w:szCs w:val="20"/>
          <w:lang w:val="es-ES_tradnl" w:eastAsia="es-ES"/>
        </w:rPr>
        <w:t>supuestas irregularidades de forma</w:t>
      </w:r>
      <w:r w:rsidR="00C53C58">
        <w:rPr>
          <w:rFonts w:asciiTheme="majorHAnsi" w:hAnsiTheme="majorHAnsi" w:cs="Arial"/>
          <w:sz w:val="20"/>
          <w:szCs w:val="20"/>
          <w:lang w:val="es-ES_tradnl" w:eastAsia="es-ES"/>
        </w:rPr>
        <w:t xml:space="preserve"> en dicho</w:t>
      </w:r>
      <w:r w:rsidR="00647815" w:rsidRPr="00506D99">
        <w:rPr>
          <w:rFonts w:asciiTheme="majorHAnsi" w:hAnsiTheme="majorHAnsi" w:cs="Arial"/>
          <w:sz w:val="20"/>
          <w:szCs w:val="20"/>
          <w:lang w:val="es-ES_tradnl" w:eastAsia="es-ES"/>
        </w:rPr>
        <w:t xml:space="preserve"> reglamento. En este sentido, destaca que </w:t>
      </w:r>
      <w:r w:rsidR="00C53C58">
        <w:rPr>
          <w:rFonts w:asciiTheme="majorHAnsi" w:hAnsiTheme="majorHAnsi" w:cs="Arial"/>
          <w:sz w:val="20"/>
          <w:szCs w:val="20"/>
          <w:lang w:val="es-ES_tradnl" w:eastAsia="es-ES"/>
        </w:rPr>
        <w:t xml:space="preserve">la </w:t>
      </w:r>
      <w:r w:rsidR="00C53C58" w:rsidRPr="00506D99">
        <w:rPr>
          <w:rFonts w:asciiTheme="majorHAnsi" w:hAnsiTheme="majorHAnsi" w:cs="Arial"/>
          <w:sz w:val="20"/>
          <w:szCs w:val="20"/>
          <w:lang w:val="es-ES_tradnl" w:eastAsia="es-ES"/>
        </w:rPr>
        <w:t xml:space="preserve">práctica normal de COCESNA </w:t>
      </w:r>
      <w:r w:rsidR="00C53C58">
        <w:rPr>
          <w:rFonts w:asciiTheme="majorHAnsi" w:hAnsiTheme="majorHAnsi" w:cs="Arial"/>
          <w:sz w:val="20"/>
          <w:szCs w:val="20"/>
          <w:lang w:val="es-ES_tradnl" w:eastAsia="es-ES"/>
        </w:rPr>
        <w:t xml:space="preserve">consiste en </w:t>
      </w:r>
      <w:r w:rsidR="00327945" w:rsidRPr="00506D99">
        <w:rPr>
          <w:rFonts w:asciiTheme="majorHAnsi" w:hAnsiTheme="majorHAnsi" w:cs="Arial"/>
          <w:sz w:val="20"/>
          <w:szCs w:val="20"/>
          <w:lang w:val="es-ES_tradnl" w:eastAsia="es-ES"/>
        </w:rPr>
        <w:t xml:space="preserve">someterse a las jurisdicciones </w:t>
      </w:r>
      <w:r w:rsidR="00C53C58">
        <w:rPr>
          <w:rFonts w:asciiTheme="majorHAnsi" w:hAnsiTheme="majorHAnsi" w:cs="Arial"/>
          <w:sz w:val="20"/>
          <w:szCs w:val="20"/>
          <w:lang w:val="es-ES_tradnl" w:eastAsia="es-ES"/>
        </w:rPr>
        <w:t xml:space="preserve">nacionales </w:t>
      </w:r>
      <w:r w:rsidR="00327945" w:rsidRPr="00506D99">
        <w:rPr>
          <w:rFonts w:asciiTheme="majorHAnsi" w:hAnsiTheme="majorHAnsi" w:cs="Arial"/>
          <w:sz w:val="20"/>
          <w:szCs w:val="20"/>
          <w:lang w:val="es-ES_tradnl" w:eastAsia="es-ES"/>
        </w:rPr>
        <w:t>de trabajo es</w:t>
      </w:r>
      <w:r w:rsidR="00C53C58">
        <w:rPr>
          <w:rFonts w:asciiTheme="majorHAnsi" w:hAnsiTheme="majorHAnsi" w:cs="Arial"/>
          <w:sz w:val="20"/>
          <w:szCs w:val="20"/>
          <w:lang w:val="es-ES_tradnl" w:eastAsia="es-ES"/>
        </w:rPr>
        <w:t xml:space="preserve"> y cita los casos de</w:t>
      </w:r>
      <w:r w:rsidR="00327945" w:rsidRPr="00506D99">
        <w:rPr>
          <w:rFonts w:asciiTheme="majorHAnsi" w:hAnsiTheme="majorHAnsi" w:cs="Arial"/>
          <w:sz w:val="20"/>
          <w:szCs w:val="20"/>
          <w:lang w:val="es-ES_tradnl" w:eastAsia="es-ES"/>
        </w:rPr>
        <w:t xml:space="preserve"> Guatemala</w:t>
      </w:r>
      <w:r w:rsidR="00C53C58">
        <w:rPr>
          <w:rFonts w:asciiTheme="majorHAnsi" w:hAnsiTheme="majorHAnsi" w:cs="Arial"/>
          <w:sz w:val="20"/>
          <w:szCs w:val="20"/>
          <w:lang w:val="es-ES_tradnl" w:eastAsia="es-ES"/>
        </w:rPr>
        <w:t>,</w:t>
      </w:r>
      <w:r w:rsidR="00327945" w:rsidRPr="00506D99">
        <w:rPr>
          <w:rFonts w:asciiTheme="majorHAnsi" w:hAnsiTheme="majorHAnsi" w:cs="Arial"/>
          <w:sz w:val="20"/>
          <w:szCs w:val="20"/>
          <w:lang w:val="es-ES_tradnl" w:eastAsia="es-ES"/>
        </w:rPr>
        <w:t xml:space="preserve"> </w:t>
      </w:r>
      <w:r w:rsidR="00C53C58">
        <w:rPr>
          <w:rFonts w:asciiTheme="majorHAnsi" w:hAnsiTheme="majorHAnsi" w:cs="Arial"/>
          <w:sz w:val="20"/>
          <w:szCs w:val="20"/>
          <w:lang w:val="es-ES_tradnl" w:eastAsia="es-ES"/>
        </w:rPr>
        <w:t xml:space="preserve">donde </w:t>
      </w:r>
      <w:r w:rsidR="00327945" w:rsidRPr="00506D99">
        <w:rPr>
          <w:rFonts w:asciiTheme="majorHAnsi" w:hAnsiTheme="majorHAnsi" w:cs="Arial"/>
          <w:sz w:val="20"/>
          <w:szCs w:val="20"/>
          <w:lang w:val="es-ES_tradnl" w:eastAsia="es-ES"/>
        </w:rPr>
        <w:t>formuló un reglamento interior de trabajo conforme a las disposiciones del Código de Trabajo de ese país</w:t>
      </w:r>
      <w:r w:rsidR="00C53C58">
        <w:rPr>
          <w:rFonts w:asciiTheme="majorHAnsi" w:hAnsiTheme="majorHAnsi" w:cs="Arial"/>
          <w:sz w:val="20"/>
          <w:szCs w:val="20"/>
          <w:lang w:val="es-ES_tradnl" w:eastAsia="es-ES"/>
        </w:rPr>
        <w:t>;</w:t>
      </w:r>
      <w:r w:rsidR="00327945" w:rsidRPr="00506D99">
        <w:rPr>
          <w:rFonts w:asciiTheme="majorHAnsi" w:hAnsiTheme="majorHAnsi" w:cs="Arial"/>
          <w:sz w:val="20"/>
          <w:szCs w:val="20"/>
          <w:lang w:val="es-ES_tradnl" w:eastAsia="es-ES"/>
        </w:rPr>
        <w:t xml:space="preserve"> y </w:t>
      </w:r>
      <w:r w:rsidR="00C53C58">
        <w:rPr>
          <w:rFonts w:asciiTheme="majorHAnsi" w:hAnsiTheme="majorHAnsi" w:cs="Arial"/>
          <w:sz w:val="20"/>
          <w:szCs w:val="20"/>
          <w:lang w:val="es-ES_tradnl" w:eastAsia="es-ES"/>
        </w:rPr>
        <w:t>d</w:t>
      </w:r>
      <w:r w:rsidR="00327945" w:rsidRPr="00506D99">
        <w:rPr>
          <w:rFonts w:asciiTheme="majorHAnsi" w:hAnsiTheme="majorHAnsi" w:cs="Arial"/>
          <w:sz w:val="20"/>
          <w:szCs w:val="20"/>
          <w:lang w:val="es-ES_tradnl" w:eastAsia="es-ES"/>
        </w:rPr>
        <w:t>e Nicaragua</w:t>
      </w:r>
      <w:r w:rsidR="00C53C58">
        <w:rPr>
          <w:rFonts w:asciiTheme="majorHAnsi" w:hAnsiTheme="majorHAnsi" w:cs="Arial"/>
          <w:sz w:val="20"/>
          <w:szCs w:val="20"/>
          <w:lang w:val="es-ES_tradnl" w:eastAsia="es-ES"/>
        </w:rPr>
        <w:t>, donde</w:t>
      </w:r>
      <w:r w:rsidR="00327945" w:rsidRPr="00506D99">
        <w:rPr>
          <w:rFonts w:asciiTheme="majorHAnsi" w:hAnsiTheme="majorHAnsi" w:cs="Arial"/>
          <w:sz w:val="20"/>
          <w:szCs w:val="20"/>
          <w:lang w:val="es-ES_tradnl" w:eastAsia="es-ES"/>
        </w:rPr>
        <w:t xml:space="preserve"> adoptó un reglamento interno de trabajo en que reconoce expresamente que debe cumplir con las obligacion</w:t>
      </w:r>
      <w:r w:rsidR="00AB67C6" w:rsidRPr="00506D99">
        <w:rPr>
          <w:rFonts w:asciiTheme="majorHAnsi" w:hAnsiTheme="majorHAnsi" w:cs="Arial"/>
          <w:sz w:val="20"/>
          <w:szCs w:val="20"/>
          <w:lang w:val="es-ES_tradnl" w:eastAsia="es-ES"/>
        </w:rPr>
        <w:t xml:space="preserve">es contenidas en el Código de Trabajo </w:t>
      </w:r>
      <w:r w:rsidR="00C53C58">
        <w:rPr>
          <w:rFonts w:asciiTheme="majorHAnsi" w:hAnsiTheme="majorHAnsi" w:cs="Arial"/>
          <w:sz w:val="20"/>
          <w:szCs w:val="20"/>
          <w:lang w:val="es-ES_tradnl" w:eastAsia="es-ES"/>
        </w:rPr>
        <w:t>de dicho país</w:t>
      </w:r>
      <w:r w:rsidR="00AB67C6" w:rsidRPr="00506D99">
        <w:rPr>
          <w:rFonts w:asciiTheme="majorHAnsi" w:hAnsiTheme="majorHAnsi" w:cs="Arial"/>
          <w:sz w:val="20"/>
          <w:szCs w:val="20"/>
          <w:lang w:val="es-ES_tradnl" w:eastAsia="es-ES"/>
        </w:rPr>
        <w:t>.</w:t>
      </w:r>
    </w:p>
    <w:p w14:paraId="4E3C6AEB" w14:textId="77777777" w:rsidR="00E57A4F" w:rsidRPr="00506D99" w:rsidRDefault="00E57A4F" w:rsidP="00E20A73">
      <w:pPr>
        <w:pStyle w:val="Default"/>
        <w:spacing w:after="0" w:line="240" w:lineRule="auto"/>
        <w:jc w:val="both"/>
        <w:rPr>
          <w:rFonts w:asciiTheme="majorHAnsi" w:hAnsiTheme="majorHAnsi" w:cs="Arial"/>
          <w:sz w:val="16"/>
          <w:szCs w:val="16"/>
          <w:lang w:val="es-ES_tradnl" w:eastAsia="es-ES"/>
        </w:rPr>
      </w:pPr>
    </w:p>
    <w:p w14:paraId="1B509D67" w14:textId="625D0BEA" w:rsidR="00244671" w:rsidRPr="00506D99" w:rsidRDefault="00C53C58" w:rsidP="00E20A73">
      <w:pPr>
        <w:pStyle w:val="Default"/>
        <w:numPr>
          <w:ilvl w:val="0"/>
          <w:numId w:val="55"/>
        </w:numPr>
        <w:spacing w:after="0" w:line="240" w:lineRule="auto"/>
        <w:jc w:val="both"/>
        <w:rPr>
          <w:rFonts w:asciiTheme="majorHAnsi" w:hAnsiTheme="majorHAnsi" w:cs="Arial"/>
          <w:sz w:val="16"/>
          <w:szCs w:val="16"/>
          <w:lang w:val="es-ES_tradnl" w:eastAsia="es-ES"/>
        </w:rPr>
      </w:pPr>
      <w:r>
        <w:rPr>
          <w:rFonts w:asciiTheme="majorHAnsi" w:hAnsiTheme="majorHAnsi" w:cs="Arial"/>
          <w:sz w:val="20"/>
          <w:szCs w:val="20"/>
          <w:lang w:val="es-ES_tradnl" w:eastAsia="es-ES"/>
        </w:rPr>
        <w:t xml:space="preserve">Sostiene asimismo el </w:t>
      </w:r>
      <w:r w:rsidR="006055BB" w:rsidRPr="00506D99">
        <w:rPr>
          <w:rFonts w:asciiTheme="majorHAnsi" w:hAnsiTheme="majorHAnsi" w:cs="Arial"/>
          <w:sz w:val="20"/>
          <w:szCs w:val="20"/>
          <w:lang w:val="es-ES_tradnl" w:eastAsia="es-ES"/>
        </w:rPr>
        <w:t xml:space="preserve">peticionario </w:t>
      </w:r>
      <w:r w:rsidR="00F85AA7" w:rsidRPr="00506D99">
        <w:rPr>
          <w:rFonts w:asciiTheme="majorHAnsi" w:hAnsiTheme="majorHAnsi" w:cs="Arial"/>
          <w:sz w:val="20"/>
          <w:szCs w:val="20"/>
          <w:lang w:val="es-ES_tradnl" w:eastAsia="es-ES"/>
        </w:rPr>
        <w:t>que la Corte Suprema vulneró el derecho a la igualdad de la presunta víctima</w:t>
      </w:r>
      <w:r w:rsidR="006055BB" w:rsidRPr="00506D99">
        <w:rPr>
          <w:rFonts w:asciiTheme="majorHAnsi" w:hAnsiTheme="majorHAnsi" w:cs="Arial"/>
          <w:sz w:val="20"/>
          <w:szCs w:val="20"/>
          <w:lang w:val="es-ES_tradnl" w:eastAsia="es-ES"/>
        </w:rPr>
        <w:t>,</w:t>
      </w:r>
      <w:r w:rsidR="00F85AA7" w:rsidRPr="00506D99">
        <w:rPr>
          <w:rFonts w:asciiTheme="majorHAnsi" w:hAnsiTheme="majorHAnsi" w:cs="Arial"/>
          <w:sz w:val="20"/>
          <w:szCs w:val="20"/>
          <w:lang w:val="es-ES_tradnl" w:eastAsia="es-ES"/>
        </w:rPr>
        <w:t xml:space="preserve"> pues en otros juicios </w:t>
      </w:r>
      <w:r w:rsidRPr="00506D99">
        <w:rPr>
          <w:rFonts w:asciiTheme="majorHAnsi" w:hAnsiTheme="majorHAnsi" w:cs="Arial"/>
          <w:sz w:val="20"/>
          <w:szCs w:val="20"/>
          <w:lang w:val="es-ES_tradnl" w:eastAsia="es-ES"/>
        </w:rPr>
        <w:t xml:space="preserve">laborales </w:t>
      </w:r>
      <w:r w:rsidR="00F85AA7" w:rsidRPr="00506D99">
        <w:rPr>
          <w:rFonts w:asciiTheme="majorHAnsi" w:hAnsiTheme="majorHAnsi" w:cs="Arial"/>
          <w:sz w:val="20"/>
          <w:szCs w:val="20"/>
          <w:lang w:val="es-ES_tradnl" w:eastAsia="es-ES"/>
        </w:rPr>
        <w:t xml:space="preserve">promovidos contra COCESNA </w:t>
      </w:r>
      <w:r w:rsidR="006055BB" w:rsidRPr="00506D99">
        <w:rPr>
          <w:rFonts w:asciiTheme="majorHAnsi" w:hAnsiTheme="majorHAnsi" w:cs="Arial"/>
          <w:sz w:val="20"/>
          <w:szCs w:val="20"/>
          <w:lang w:val="es-ES_tradnl" w:eastAsia="es-ES"/>
        </w:rPr>
        <w:t>sí</w:t>
      </w:r>
      <w:r w:rsidR="00F85AA7" w:rsidRPr="00506D99">
        <w:rPr>
          <w:rFonts w:asciiTheme="majorHAnsi" w:hAnsiTheme="majorHAnsi" w:cs="Arial"/>
          <w:sz w:val="20"/>
          <w:szCs w:val="20"/>
          <w:lang w:val="es-ES_tradnl" w:eastAsia="es-ES"/>
        </w:rPr>
        <w:t xml:space="preserve"> se </w:t>
      </w:r>
      <w:r w:rsidR="006055BB" w:rsidRPr="00506D99">
        <w:rPr>
          <w:rFonts w:asciiTheme="majorHAnsi" w:hAnsiTheme="majorHAnsi" w:cs="Arial"/>
          <w:sz w:val="20"/>
          <w:szCs w:val="20"/>
          <w:lang w:val="es-ES_tradnl" w:eastAsia="es-ES"/>
        </w:rPr>
        <w:t>habrían</w:t>
      </w:r>
      <w:r w:rsidR="00F85AA7" w:rsidRPr="00506D99">
        <w:rPr>
          <w:rFonts w:asciiTheme="majorHAnsi" w:hAnsiTheme="majorHAnsi" w:cs="Arial"/>
          <w:sz w:val="20"/>
          <w:szCs w:val="20"/>
          <w:lang w:val="es-ES_tradnl" w:eastAsia="es-ES"/>
        </w:rPr>
        <w:t xml:space="preserve"> declarado competentes</w:t>
      </w:r>
      <w:r w:rsidR="004A590A">
        <w:rPr>
          <w:rFonts w:asciiTheme="majorHAnsi" w:hAnsiTheme="majorHAnsi" w:cs="Arial"/>
          <w:sz w:val="20"/>
          <w:szCs w:val="20"/>
          <w:lang w:val="es-ES_tradnl" w:eastAsia="es-ES"/>
        </w:rPr>
        <w:t xml:space="preserve"> los tribunales nacionales</w:t>
      </w:r>
      <w:r w:rsidR="00F85AA7" w:rsidRPr="00506D99">
        <w:rPr>
          <w:rFonts w:asciiTheme="majorHAnsi" w:hAnsiTheme="majorHAnsi" w:cs="Arial"/>
          <w:sz w:val="20"/>
          <w:szCs w:val="20"/>
          <w:lang w:val="es-ES_tradnl" w:eastAsia="es-ES"/>
        </w:rPr>
        <w:t xml:space="preserve">, </w:t>
      </w:r>
      <w:r w:rsidR="004A590A">
        <w:rPr>
          <w:rFonts w:asciiTheme="majorHAnsi" w:hAnsiTheme="majorHAnsi" w:cs="Arial"/>
          <w:sz w:val="20"/>
          <w:szCs w:val="20"/>
          <w:lang w:val="es-ES_tradnl" w:eastAsia="es-ES"/>
        </w:rPr>
        <w:t xml:space="preserve">lo que </w:t>
      </w:r>
      <w:r w:rsidR="00F85AA7" w:rsidRPr="00506D99">
        <w:rPr>
          <w:rFonts w:asciiTheme="majorHAnsi" w:hAnsiTheme="majorHAnsi" w:cs="Arial"/>
          <w:sz w:val="20"/>
          <w:szCs w:val="20"/>
          <w:lang w:val="es-ES_tradnl" w:eastAsia="es-ES"/>
        </w:rPr>
        <w:t>result</w:t>
      </w:r>
      <w:r w:rsidR="004A590A">
        <w:rPr>
          <w:rFonts w:asciiTheme="majorHAnsi" w:hAnsiTheme="majorHAnsi" w:cs="Arial"/>
          <w:sz w:val="20"/>
          <w:szCs w:val="20"/>
          <w:lang w:val="es-ES_tradnl" w:eastAsia="es-ES"/>
        </w:rPr>
        <w:t>ó</w:t>
      </w:r>
      <w:r w:rsidR="00F85AA7" w:rsidRPr="00506D99">
        <w:rPr>
          <w:rFonts w:asciiTheme="majorHAnsi" w:hAnsiTheme="majorHAnsi" w:cs="Arial"/>
          <w:sz w:val="20"/>
          <w:szCs w:val="20"/>
          <w:lang w:val="es-ES_tradnl" w:eastAsia="es-ES"/>
        </w:rPr>
        <w:t xml:space="preserve"> en </w:t>
      </w:r>
      <w:r w:rsidR="002B6F88">
        <w:rPr>
          <w:rFonts w:asciiTheme="majorHAnsi" w:hAnsiTheme="majorHAnsi" w:cs="Arial"/>
          <w:sz w:val="20"/>
          <w:szCs w:val="20"/>
          <w:lang w:val="es-ES_tradnl" w:eastAsia="es-ES"/>
        </w:rPr>
        <w:t xml:space="preserve">sendas </w:t>
      </w:r>
      <w:r w:rsidR="00F85AA7" w:rsidRPr="00506D99">
        <w:rPr>
          <w:rFonts w:asciiTheme="majorHAnsi" w:hAnsiTheme="majorHAnsi" w:cs="Arial"/>
          <w:sz w:val="20"/>
          <w:szCs w:val="20"/>
          <w:lang w:val="es-ES_tradnl" w:eastAsia="es-ES"/>
        </w:rPr>
        <w:t xml:space="preserve">órdenes de reintegro y de pago </w:t>
      </w:r>
      <w:r w:rsidR="004A590A" w:rsidRPr="00506D99">
        <w:rPr>
          <w:rFonts w:asciiTheme="majorHAnsi" w:hAnsiTheme="majorHAnsi" w:cs="Arial"/>
          <w:sz w:val="20"/>
          <w:szCs w:val="20"/>
          <w:lang w:val="es-ES_tradnl" w:eastAsia="es-ES"/>
        </w:rPr>
        <w:t xml:space="preserve">a los recurrentes </w:t>
      </w:r>
      <w:r w:rsidR="00F85AA7" w:rsidRPr="00506D99">
        <w:rPr>
          <w:rFonts w:asciiTheme="majorHAnsi" w:hAnsiTheme="majorHAnsi" w:cs="Arial"/>
          <w:sz w:val="20"/>
          <w:szCs w:val="20"/>
          <w:lang w:val="es-ES_tradnl" w:eastAsia="es-ES"/>
        </w:rPr>
        <w:t>de salarios dejados de percibir.</w:t>
      </w:r>
      <w:r w:rsidR="00E57A4F" w:rsidRPr="00506D99">
        <w:rPr>
          <w:rFonts w:asciiTheme="majorHAnsi" w:hAnsiTheme="majorHAnsi" w:cs="Arial"/>
          <w:sz w:val="16"/>
          <w:szCs w:val="16"/>
          <w:lang w:val="es-ES_tradnl" w:eastAsia="es-ES"/>
        </w:rPr>
        <w:t xml:space="preserve"> </w:t>
      </w:r>
      <w:r w:rsidR="00E57A4F" w:rsidRPr="00506D99">
        <w:rPr>
          <w:rFonts w:asciiTheme="majorHAnsi" w:hAnsiTheme="majorHAnsi" w:cs="Arial"/>
          <w:sz w:val="20"/>
          <w:szCs w:val="20"/>
          <w:lang w:val="es-ES_tradnl" w:eastAsia="es-ES"/>
        </w:rPr>
        <w:t xml:space="preserve">En </w:t>
      </w:r>
      <w:r w:rsidR="006055BB" w:rsidRPr="00506D99">
        <w:rPr>
          <w:rFonts w:asciiTheme="majorHAnsi" w:hAnsiTheme="majorHAnsi" w:cs="Arial"/>
          <w:sz w:val="20"/>
          <w:szCs w:val="20"/>
          <w:lang w:val="es-ES_tradnl" w:eastAsia="es-ES"/>
        </w:rPr>
        <w:t>sustento</w:t>
      </w:r>
      <w:r w:rsidR="00E57A4F" w:rsidRPr="00506D99">
        <w:rPr>
          <w:rFonts w:asciiTheme="majorHAnsi" w:hAnsiTheme="majorHAnsi" w:cs="Arial"/>
          <w:sz w:val="20"/>
          <w:szCs w:val="20"/>
          <w:lang w:val="es-ES_tradnl" w:eastAsia="es-ES"/>
        </w:rPr>
        <w:t xml:space="preserve"> </w:t>
      </w:r>
      <w:r w:rsidR="006055BB" w:rsidRPr="00506D99">
        <w:rPr>
          <w:rFonts w:asciiTheme="majorHAnsi" w:hAnsiTheme="majorHAnsi" w:cs="Arial"/>
          <w:sz w:val="20"/>
          <w:szCs w:val="20"/>
          <w:lang w:val="es-ES_tradnl" w:eastAsia="es-ES"/>
        </w:rPr>
        <w:t>de</w:t>
      </w:r>
      <w:r w:rsidR="00E57A4F" w:rsidRPr="00506D99">
        <w:rPr>
          <w:rFonts w:asciiTheme="majorHAnsi" w:hAnsiTheme="majorHAnsi" w:cs="Arial"/>
          <w:sz w:val="20"/>
          <w:szCs w:val="20"/>
          <w:lang w:val="es-ES_tradnl" w:eastAsia="es-ES"/>
        </w:rPr>
        <w:t xml:space="preserve"> esta aseveración a</w:t>
      </w:r>
      <w:r w:rsidR="00F85AA7" w:rsidRPr="00506D99">
        <w:rPr>
          <w:rFonts w:asciiTheme="majorHAnsi" w:hAnsiTheme="majorHAnsi" w:cs="Arial"/>
          <w:sz w:val="20"/>
          <w:szCs w:val="20"/>
          <w:lang w:val="es-ES_tradnl" w:eastAsia="es-ES"/>
        </w:rPr>
        <w:t xml:space="preserve">porta </w:t>
      </w:r>
      <w:r w:rsidR="002C7AA6" w:rsidRPr="00506D99">
        <w:rPr>
          <w:rFonts w:asciiTheme="majorHAnsi" w:hAnsiTheme="majorHAnsi" w:cs="Arial"/>
          <w:sz w:val="20"/>
          <w:szCs w:val="20"/>
          <w:lang w:val="es-ES_tradnl" w:eastAsia="es-ES"/>
        </w:rPr>
        <w:t>copias de los expedientes de varios de estos procesos, entre ellos, el expediente que culminó al resolverse el amparo laboral 0676-2015</w:t>
      </w:r>
      <w:r w:rsidR="002B6F88">
        <w:rPr>
          <w:rStyle w:val="FootnoteReference"/>
          <w:rFonts w:asciiTheme="majorHAnsi" w:hAnsiTheme="majorHAnsi"/>
          <w:sz w:val="20"/>
          <w:szCs w:val="20"/>
          <w:lang w:val="es-ES_tradnl" w:eastAsia="es-ES"/>
        </w:rPr>
        <w:footnoteReference w:id="6"/>
      </w:r>
      <w:r w:rsidR="002C7AA6" w:rsidRPr="00506D99">
        <w:rPr>
          <w:rFonts w:asciiTheme="majorHAnsi" w:hAnsiTheme="majorHAnsi" w:cs="Arial"/>
          <w:sz w:val="20"/>
          <w:szCs w:val="20"/>
          <w:lang w:val="es-ES_tradnl" w:eastAsia="es-ES"/>
        </w:rPr>
        <w:t xml:space="preserve">. </w:t>
      </w:r>
      <w:r w:rsidR="002B6F88">
        <w:rPr>
          <w:rFonts w:asciiTheme="majorHAnsi" w:hAnsiTheme="majorHAnsi" w:cs="Arial"/>
          <w:sz w:val="20"/>
          <w:szCs w:val="20"/>
          <w:lang w:val="es-ES_tradnl" w:eastAsia="es-ES"/>
        </w:rPr>
        <w:t xml:space="preserve">Refiere </w:t>
      </w:r>
      <w:r w:rsidR="006055BB" w:rsidRPr="00506D99">
        <w:rPr>
          <w:rFonts w:asciiTheme="majorHAnsi" w:hAnsiTheme="majorHAnsi" w:cs="Arial"/>
          <w:sz w:val="20"/>
          <w:szCs w:val="20"/>
          <w:lang w:val="es-ES_tradnl" w:eastAsia="es-ES"/>
        </w:rPr>
        <w:t>además</w:t>
      </w:r>
      <w:r w:rsidR="00AB67C6" w:rsidRPr="00506D99">
        <w:rPr>
          <w:rFonts w:asciiTheme="majorHAnsi" w:hAnsiTheme="majorHAnsi" w:cs="Arial"/>
          <w:sz w:val="20"/>
          <w:szCs w:val="20"/>
          <w:lang w:val="es-ES_tradnl" w:eastAsia="es-ES"/>
        </w:rPr>
        <w:t xml:space="preserve"> que el 8 de junio de 2021 la Corte de Apelaciones del Trabajo rechazó un recurso de apelación interpuesto por COCESNA contra una sentencia de primera instancia </w:t>
      </w:r>
      <w:r w:rsidR="009D19F0">
        <w:rPr>
          <w:rFonts w:asciiTheme="majorHAnsi" w:hAnsiTheme="majorHAnsi" w:cs="Arial"/>
          <w:sz w:val="20"/>
          <w:szCs w:val="20"/>
          <w:lang w:val="es-ES_tradnl" w:eastAsia="es-ES"/>
        </w:rPr>
        <w:t xml:space="preserve">en que </w:t>
      </w:r>
      <w:r w:rsidR="00AB67C6" w:rsidRPr="00506D99">
        <w:rPr>
          <w:rFonts w:asciiTheme="majorHAnsi" w:hAnsiTheme="majorHAnsi" w:cs="Arial"/>
          <w:sz w:val="20"/>
          <w:szCs w:val="20"/>
          <w:lang w:val="es-ES_tradnl" w:eastAsia="es-ES"/>
        </w:rPr>
        <w:t>había invocado su supuesto privilegio de inmunidad.</w:t>
      </w:r>
    </w:p>
    <w:p w14:paraId="7107ECB5" w14:textId="77777777" w:rsidR="00450E17" w:rsidRPr="00506D99" w:rsidRDefault="00450E17" w:rsidP="00E20A73">
      <w:pPr>
        <w:pStyle w:val="Default"/>
        <w:spacing w:after="0" w:line="240" w:lineRule="auto"/>
        <w:ind w:left="720"/>
        <w:jc w:val="both"/>
        <w:rPr>
          <w:rFonts w:asciiTheme="majorHAnsi" w:hAnsiTheme="majorHAnsi" w:cs="Arial"/>
          <w:sz w:val="16"/>
          <w:szCs w:val="16"/>
          <w:lang w:val="es-ES_tradnl" w:eastAsia="es-ES"/>
        </w:rPr>
      </w:pPr>
    </w:p>
    <w:p w14:paraId="59FABBF1" w14:textId="5BBA25C2" w:rsidR="00915C27" w:rsidRPr="00506D99" w:rsidRDefault="007578DB" w:rsidP="00E20A73">
      <w:pPr>
        <w:pStyle w:val="Default"/>
        <w:numPr>
          <w:ilvl w:val="0"/>
          <w:numId w:val="55"/>
        </w:numPr>
        <w:spacing w:after="0" w:line="240" w:lineRule="auto"/>
        <w:jc w:val="both"/>
        <w:rPr>
          <w:rFonts w:asciiTheme="majorHAnsi" w:hAnsiTheme="majorHAnsi" w:cs="Arial"/>
          <w:sz w:val="16"/>
          <w:szCs w:val="16"/>
          <w:lang w:val="es-ES_tradnl" w:eastAsia="es-ES"/>
        </w:rPr>
      </w:pPr>
      <w:r w:rsidRPr="00506D99">
        <w:rPr>
          <w:rFonts w:asciiTheme="majorHAnsi" w:hAnsiTheme="majorHAnsi" w:cs="Arial"/>
          <w:sz w:val="20"/>
          <w:szCs w:val="20"/>
          <w:lang w:val="es-ES_tradnl" w:eastAsia="es-ES"/>
        </w:rPr>
        <w:t xml:space="preserve">Según sostiene </w:t>
      </w:r>
      <w:r w:rsidR="00F13A5E" w:rsidRPr="00506D99">
        <w:rPr>
          <w:rFonts w:asciiTheme="majorHAnsi" w:hAnsiTheme="majorHAnsi" w:cs="Arial"/>
          <w:sz w:val="20"/>
          <w:szCs w:val="20"/>
          <w:lang w:val="es-ES_tradnl" w:eastAsia="es-ES"/>
        </w:rPr>
        <w:t>el peticionario</w:t>
      </w:r>
      <w:r w:rsidRPr="00506D99">
        <w:rPr>
          <w:rFonts w:asciiTheme="majorHAnsi" w:hAnsiTheme="majorHAnsi" w:cs="Arial"/>
          <w:sz w:val="20"/>
          <w:szCs w:val="20"/>
          <w:lang w:val="es-ES_tradnl" w:eastAsia="es-ES"/>
        </w:rPr>
        <w:t>,</w:t>
      </w:r>
      <w:r w:rsidR="00450E17" w:rsidRPr="00506D99">
        <w:rPr>
          <w:rFonts w:asciiTheme="majorHAnsi" w:hAnsiTheme="majorHAnsi" w:cs="Arial"/>
          <w:sz w:val="20"/>
          <w:szCs w:val="20"/>
          <w:lang w:val="es-ES_tradnl" w:eastAsia="es-ES"/>
        </w:rPr>
        <w:t xml:space="preserve"> </w:t>
      </w:r>
      <w:r w:rsidRPr="00506D99">
        <w:rPr>
          <w:rFonts w:asciiTheme="majorHAnsi" w:hAnsiTheme="majorHAnsi" w:cs="Arial"/>
          <w:sz w:val="20"/>
          <w:szCs w:val="20"/>
          <w:lang w:val="es-ES_tradnl" w:eastAsia="es-ES"/>
        </w:rPr>
        <w:t>la mediación del Estado por la vía diplomática no concedería a la presunta víctima una verdadera posibilidad de obtener justicia</w:t>
      </w:r>
      <w:r w:rsidR="009D19F0">
        <w:rPr>
          <w:rFonts w:asciiTheme="majorHAnsi" w:hAnsiTheme="majorHAnsi" w:cs="Arial"/>
          <w:sz w:val="20"/>
          <w:szCs w:val="20"/>
          <w:lang w:val="es-ES_tradnl" w:eastAsia="es-ES"/>
        </w:rPr>
        <w:t>,</w:t>
      </w:r>
      <w:r w:rsidRPr="00506D99">
        <w:rPr>
          <w:rFonts w:asciiTheme="majorHAnsi" w:hAnsiTheme="majorHAnsi" w:cs="Arial"/>
          <w:sz w:val="20"/>
          <w:szCs w:val="20"/>
          <w:lang w:val="es-ES_tradnl" w:eastAsia="es-ES"/>
        </w:rPr>
        <w:t xml:space="preserve"> porque l</w:t>
      </w:r>
      <w:r w:rsidR="009D19F0">
        <w:rPr>
          <w:rFonts w:asciiTheme="majorHAnsi" w:hAnsiTheme="majorHAnsi" w:cs="Arial"/>
          <w:sz w:val="20"/>
          <w:szCs w:val="20"/>
          <w:lang w:val="es-ES_tradnl" w:eastAsia="es-ES"/>
        </w:rPr>
        <w:t>a</w:t>
      </w:r>
      <w:r w:rsidRPr="00506D99">
        <w:rPr>
          <w:rFonts w:asciiTheme="majorHAnsi" w:hAnsiTheme="majorHAnsi" w:cs="Arial"/>
          <w:sz w:val="20"/>
          <w:szCs w:val="20"/>
          <w:lang w:val="es-ES_tradnl" w:eastAsia="es-ES"/>
        </w:rPr>
        <w:t xml:space="preserve"> dejaría expuest</w:t>
      </w:r>
      <w:r w:rsidR="009D19F0">
        <w:rPr>
          <w:rFonts w:asciiTheme="majorHAnsi" w:hAnsiTheme="majorHAnsi" w:cs="Arial"/>
          <w:sz w:val="20"/>
          <w:szCs w:val="20"/>
          <w:lang w:val="es-ES_tradnl" w:eastAsia="es-ES"/>
        </w:rPr>
        <w:t>a</w:t>
      </w:r>
      <w:r w:rsidRPr="00506D99">
        <w:rPr>
          <w:rFonts w:asciiTheme="majorHAnsi" w:hAnsiTheme="majorHAnsi" w:cs="Arial"/>
          <w:sz w:val="20"/>
          <w:szCs w:val="20"/>
          <w:lang w:val="es-ES_tradnl" w:eastAsia="es-ES"/>
        </w:rPr>
        <w:t xml:space="preserve"> a la voluntad unilateral de COCESNA</w:t>
      </w:r>
      <w:r w:rsidR="009D19F0">
        <w:rPr>
          <w:rFonts w:asciiTheme="majorHAnsi" w:hAnsiTheme="majorHAnsi" w:cs="Arial"/>
          <w:sz w:val="20"/>
          <w:szCs w:val="20"/>
          <w:lang w:val="es-ES_tradnl" w:eastAsia="es-ES"/>
        </w:rPr>
        <w:t xml:space="preserve">. Esta entidad ya había </w:t>
      </w:r>
      <w:r w:rsidR="00937CE4" w:rsidRPr="00506D99">
        <w:rPr>
          <w:rFonts w:asciiTheme="majorHAnsi" w:hAnsiTheme="majorHAnsi" w:cs="Arial"/>
          <w:sz w:val="20"/>
          <w:szCs w:val="20"/>
          <w:lang w:val="es-ES_tradnl" w:eastAsia="es-ES"/>
        </w:rPr>
        <w:t>dispu</w:t>
      </w:r>
      <w:r w:rsidR="009D19F0">
        <w:rPr>
          <w:rFonts w:asciiTheme="majorHAnsi" w:hAnsiTheme="majorHAnsi" w:cs="Arial"/>
          <w:sz w:val="20"/>
          <w:szCs w:val="20"/>
          <w:lang w:val="es-ES_tradnl" w:eastAsia="es-ES"/>
        </w:rPr>
        <w:t>e</w:t>
      </w:r>
      <w:r w:rsidR="00937CE4" w:rsidRPr="00506D99">
        <w:rPr>
          <w:rFonts w:asciiTheme="majorHAnsi" w:hAnsiTheme="majorHAnsi" w:cs="Arial"/>
          <w:sz w:val="20"/>
          <w:szCs w:val="20"/>
          <w:lang w:val="es-ES_tradnl" w:eastAsia="es-ES"/>
        </w:rPr>
        <w:t>s</w:t>
      </w:r>
      <w:r w:rsidR="009D19F0">
        <w:rPr>
          <w:rFonts w:asciiTheme="majorHAnsi" w:hAnsiTheme="majorHAnsi" w:cs="Arial"/>
          <w:sz w:val="20"/>
          <w:szCs w:val="20"/>
          <w:lang w:val="es-ES_tradnl" w:eastAsia="es-ES"/>
        </w:rPr>
        <w:t>t</w:t>
      </w:r>
      <w:r w:rsidR="00937CE4" w:rsidRPr="00506D99">
        <w:rPr>
          <w:rFonts w:asciiTheme="majorHAnsi" w:hAnsiTheme="majorHAnsi" w:cs="Arial"/>
          <w:sz w:val="20"/>
          <w:szCs w:val="20"/>
          <w:lang w:val="es-ES_tradnl" w:eastAsia="es-ES"/>
        </w:rPr>
        <w:t xml:space="preserve">o </w:t>
      </w:r>
      <w:r w:rsidR="009D19F0">
        <w:rPr>
          <w:rFonts w:asciiTheme="majorHAnsi" w:hAnsiTheme="majorHAnsi" w:cs="Arial"/>
          <w:sz w:val="20"/>
          <w:szCs w:val="20"/>
          <w:lang w:val="es-ES_tradnl" w:eastAsia="es-ES"/>
        </w:rPr>
        <w:t>por la R</w:t>
      </w:r>
      <w:r w:rsidR="009D19F0" w:rsidRPr="00506D99">
        <w:rPr>
          <w:rFonts w:asciiTheme="majorHAnsi" w:hAnsiTheme="majorHAnsi" w:cs="Arial"/>
          <w:sz w:val="20"/>
          <w:szCs w:val="20"/>
          <w:lang w:val="es-ES_tradnl" w:eastAsia="es-ES"/>
        </w:rPr>
        <w:t xml:space="preserve">esolución 2013/101.5 </w:t>
      </w:r>
      <w:r w:rsidR="009D19F0">
        <w:rPr>
          <w:rFonts w:asciiTheme="majorHAnsi" w:hAnsiTheme="majorHAnsi" w:cs="Arial"/>
          <w:sz w:val="20"/>
          <w:szCs w:val="20"/>
          <w:lang w:val="es-ES_tradnl" w:eastAsia="es-ES"/>
        </w:rPr>
        <w:t xml:space="preserve">emitida el </w:t>
      </w:r>
      <w:r w:rsidR="009D19F0" w:rsidRPr="00506D99">
        <w:rPr>
          <w:rFonts w:asciiTheme="majorHAnsi" w:hAnsiTheme="majorHAnsi" w:cs="Arial"/>
          <w:sz w:val="20"/>
          <w:szCs w:val="20"/>
          <w:lang w:val="es-ES_tradnl" w:eastAsia="es-ES"/>
        </w:rPr>
        <w:t>17 de junio de 2013</w:t>
      </w:r>
      <w:r w:rsidR="00937CE4" w:rsidRPr="00506D99">
        <w:rPr>
          <w:rFonts w:asciiTheme="majorHAnsi" w:hAnsiTheme="majorHAnsi" w:cs="Arial"/>
          <w:sz w:val="20"/>
          <w:szCs w:val="20"/>
          <w:lang w:val="es-ES_tradnl" w:eastAsia="es-ES"/>
        </w:rPr>
        <w:t xml:space="preserve"> </w:t>
      </w:r>
      <w:r w:rsidR="009D19F0">
        <w:rPr>
          <w:rFonts w:asciiTheme="majorHAnsi" w:hAnsiTheme="majorHAnsi" w:cs="Arial"/>
          <w:sz w:val="20"/>
          <w:szCs w:val="20"/>
          <w:lang w:val="es-ES_tradnl" w:eastAsia="es-ES"/>
        </w:rPr>
        <w:t>por</w:t>
      </w:r>
      <w:r w:rsidR="00937CE4" w:rsidRPr="00506D99">
        <w:rPr>
          <w:rFonts w:asciiTheme="majorHAnsi" w:hAnsiTheme="majorHAnsi" w:cs="Arial"/>
          <w:sz w:val="20"/>
          <w:szCs w:val="20"/>
          <w:lang w:val="es-ES_tradnl" w:eastAsia="es-ES"/>
        </w:rPr>
        <w:t xml:space="preserve"> su </w:t>
      </w:r>
      <w:r w:rsidR="009D19F0">
        <w:rPr>
          <w:rFonts w:asciiTheme="majorHAnsi" w:hAnsiTheme="majorHAnsi" w:cs="Arial"/>
          <w:sz w:val="20"/>
          <w:szCs w:val="20"/>
          <w:lang w:val="es-ES_tradnl" w:eastAsia="es-ES"/>
        </w:rPr>
        <w:t>C</w:t>
      </w:r>
      <w:r w:rsidR="00937CE4" w:rsidRPr="00506D99">
        <w:rPr>
          <w:rFonts w:asciiTheme="majorHAnsi" w:hAnsiTheme="majorHAnsi" w:cs="Arial"/>
          <w:sz w:val="20"/>
          <w:szCs w:val="20"/>
          <w:lang w:val="es-ES_tradnl" w:eastAsia="es-ES"/>
        </w:rPr>
        <w:t xml:space="preserve">onsejo </w:t>
      </w:r>
      <w:r w:rsidR="009D19F0">
        <w:rPr>
          <w:rFonts w:asciiTheme="majorHAnsi" w:hAnsiTheme="majorHAnsi" w:cs="Arial"/>
          <w:sz w:val="20"/>
          <w:szCs w:val="20"/>
          <w:lang w:val="es-ES_tradnl" w:eastAsia="es-ES"/>
        </w:rPr>
        <w:t>D</w:t>
      </w:r>
      <w:r w:rsidR="00937CE4" w:rsidRPr="00506D99">
        <w:rPr>
          <w:rFonts w:asciiTheme="majorHAnsi" w:hAnsiTheme="majorHAnsi" w:cs="Arial"/>
          <w:sz w:val="20"/>
          <w:szCs w:val="20"/>
          <w:lang w:val="es-ES_tradnl" w:eastAsia="es-ES"/>
        </w:rPr>
        <w:t xml:space="preserve">irectivo </w:t>
      </w:r>
      <w:r w:rsidR="009D19F0">
        <w:rPr>
          <w:rFonts w:asciiTheme="majorHAnsi" w:hAnsiTheme="majorHAnsi" w:cs="Arial"/>
          <w:sz w:val="20"/>
          <w:szCs w:val="20"/>
          <w:lang w:val="es-ES_tradnl" w:eastAsia="es-ES"/>
        </w:rPr>
        <w:t xml:space="preserve">que </w:t>
      </w:r>
      <w:r w:rsidR="00937CE4" w:rsidRPr="00506D99">
        <w:rPr>
          <w:rFonts w:asciiTheme="majorHAnsi" w:hAnsiTheme="majorHAnsi" w:cs="Arial"/>
          <w:sz w:val="20"/>
          <w:szCs w:val="20"/>
          <w:lang w:val="es-ES_tradnl" w:eastAsia="es-ES"/>
        </w:rPr>
        <w:t xml:space="preserve">no </w:t>
      </w:r>
      <w:r w:rsidR="009D19F0">
        <w:rPr>
          <w:rFonts w:asciiTheme="majorHAnsi" w:hAnsiTheme="majorHAnsi" w:cs="Arial"/>
          <w:sz w:val="20"/>
          <w:szCs w:val="20"/>
          <w:lang w:val="es-ES_tradnl" w:eastAsia="es-ES"/>
        </w:rPr>
        <w:t xml:space="preserve">reintegraría </w:t>
      </w:r>
      <w:r w:rsidR="00937CE4" w:rsidRPr="00506D99">
        <w:rPr>
          <w:rFonts w:asciiTheme="majorHAnsi" w:hAnsiTheme="majorHAnsi" w:cs="Arial"/>
          <w:sz w:val="20"/>
          <w:szCs w:val="20"/>
          <w:lang w:val="es-ES_tradnl" w:eastAsia="es-ES"/>
        </w:rPr>
        <w:t xml:space="preserve">bajo contexto </w:t>
      </w:r>
      <w:r w:rsidR="009D19F0">
        <w:rPr>
          <w:rFonts w:asciiTheme="majorHAnsi" w:hAnsiTheme="majorHAnsi" w:cs="Arial"/>
          <w:sz w:val="20"/>
          <w:szCs w:val="20"/>
          <w:lang w:val="es-ES_tradnl" w:eastAsia="es-ES"/>
        </w:rPr>
        <w:t xml:space="preserve">alguno </w:t>
      </w:r>
      <w:r w:rsidR="00937CE4" w:rsidRPr="00506D99">
        <w:rPr>
          <w:rFonts w:asciiTheme="majorHAnsi" w:hAnsiTheme="majorHAnsi" w:cs="Arial"/>
          <w:sz w:val="20"/>
          <w:szCs w:val="20"/>
          <w:lang w:val="es-ES_tradnl" w:eastAsia="es-ES"/>
        </w:rPr>
        <w:t xml:space="preserve">a las personas despedidas por la institución entre 2009 y 2012. </w:t>
      </w:r>
    </w:p>
    <w:p w14:paraId="2ACBB382" w14:textId="77777777" w:rsidR="00915C27" w:rsidRPr="00506D99" w:rsidRDefault="00915C27" w:rsidP="00E20A73">
      <w:pPr>
        <w:pStyle w:val="Default"/>
        <w:spacing w:after="0" w:line="240" w:lineRule="auto"/>
        <w:jc w:val="both"/>
        <w:rPr>
          <w:rFonts w:asciiTheme="majorHAnsi" w:hAnsiTheme="majorHAnsi" w:cs="Arial"/>
          <w:sz w:val="16"/>
          <w:szCs w:val="16"/>
          <w:lang w:val="es-ES_tradnl" w:eastAsia="es-ES"/>
        </w:rPr>
      </w:pPr>
    </w:p>
    <w:p w14:paraId="0A0E8F9E" w14:textId="43AB75D0" w:rsidR="005E22EE" w:rsidRPr="00506D99" w:rsidRDefault="002B6F88" w:rsidP="00E20A73">
      <w:pPr>
        <w:pStyle w:val="Default"/>
        <w:numPr>
          <w:ilvl w:val="0"/>
          <w:numId w:val="55"/>
        </w:numPr>
        <w:spacing w:after="0" w:line="240" w:lineRule="auto"/>
        <w:jc w:val="both"/>
        <w:rPr>
          <w:rFonts w:asciiTheme="majorHAnsi" w:hAnsiTheme="majorHAnsi" w:cs="Arial"/>
          <w:sz w:val="16"/>
          <w:szCs w:val="16"/>
          <w:lang w:val="es-ES_tradnl" w:eastAsia="es-ES"/>
        </w:rPr>
      </w:pPr>
      <w:r>
        <w:rPr>
          <w:rFonts w:asciiTheme="majorHAnsi" w:hAnsiTheme="majorHAnsi" w:cs="Arial"/>
          <w:sz w:val="20"/>
          <w:szCs w:val="20"/>
          <w:lang w:val="es-ES_tradnl" w:eastAsia="es-ES"/>
        </w:rPr>
        <w:t>T</w:t>
      </w:r>
      <w:r w:rsidR="005E22EE" w:rsidRPr="00506D99">
        <w:rPr>
          <w:rFonts w:asciiTheme="majorHAnsi" w:hAnsiTheme="majorHAnsi" w:cs="Arial"/>
          <w:sz w:val="20"/>
          <w:szCs w:val="20"/>
          <w:lang w:val="es-ES_tradnl" w:eastAsia="es-ES"/>
        </w:rPr>
        <w:t xml:space="preserve">ambién </w:t>
      </w:r>
      <w:r w:rsidR="00CF006E" w:rsidRPr="00506D99">
        <w:rPr>
          <w:rFonts w:asciiTheme="majorHAnsi" w:hAnsiTheme="majorHAnsi" w:cs="Arial"/>
          <w:sz w:val="20"/>
          <w:szCs w:val="20"/>
          <w:lang w:val="es-ES_tradnl" w:eastAsia="es-ES"/>
        </w:rPr>
        <w:t xml:space="preserve">señala </w:t>
      </w:r>
      <w:r w:rsidR="00C342D9" w:rsidRPr="00506D99">
        <w:rPr>
          <w:rFonts w:asciiTheme="majorHAnsi" w:hAnsiTheme="majorHAnsi" w:cs="Arial"/>
          <w:sz w:val="20"/>
          <w:szCs w:val="20"/>
          <w:lang w:val="es-ES_tradnl" w:eastAsia="es-ES"/>
        </w:rPr>
        <w:t>que no serían aplicables al caso de la presunta víctima los procedimientos internos de mediación y arbitraje con derecho a apelación ante la Corte Centroamericana de Justicia previstos en el</w:t>
      </w:r>
      <w:r w:rsidR="00E57A4F" w:rsidRPr="00506D99">
        <w:rPr>
          <w:rFonts w:asciiTheme="majorHAnsi" w:hAnsiTheme="majorHAnsi" w:cs="Arial"/>
          <w:sz w:val="20"/>
          <w:szCs w:val="20"/>
          <w:lang w:val="es-ES_tradnl" w:eastAsia="es-ES"/>
        </w:rPr>
        <w:t xml:space="preserve"> actual</w:t>
      </w:r>
      <w:r w:rsidR="00C342D9" w:rsidRPr="00506D99">
        <w:rPr>
          <w:rFonts w:asciiTheme="majorHAnsi" w:hAnsiTheme="majorHAnsi" w:cs="Arial"/>
          <w:sz w:val="20"/>
          <w:szCs w:val="20"/>
          <w:lang w:val="es-ES_tradnl" w:eastAsia="es-ES"/>
        </w:rPr>
        <w:t xml:space="preserve"> Código de Servicios de COCESNA</w:t>
      </w:r>
      <w:r w:rsidR="006E427C">
        <w:rPr>
          <w:rFonts w:asciiTheme="majorHAnsi" w:hAnsiTheme="majorHAnsi" w:cs="Arial"/>
          <w:sz w:val="20"/>
          <w:szCs w:val="20"/>
          <w:lang w:val="es-ES_tradnl" w:eastAsia="es-ES"/>
        </w:rPr>
        <w:t>, ya que</w:t>
      </w:r>
      <w:r w:rsidR="00C342D9" w:rsidRPr="00506D99">
        <w:rPr>
          <w:rFonts w:asciiTheme="majorHAnsi" w:hAnsiTheme="majorHAnsi" w:cs="Arial"/>
          <w:sz w:val="20"/>
          <w:szCs w:val="20"/>
          <w:lang w:val="es-ES_tradnl" w:eastAsia="es-ES"/>
        </w:rPr>
        <w:t xml:space="preserve"> </w:t>
      </w:r>
      <w:r w:rsidR="006E427C">
        <w:rPr>
          <w:rFonts w:asciiTheme="majorHAnsi" w:hAnsiTheme="majorHAnsi" w:cs="Arial"/>
          <w:sz w:val="20"/>
          <w:szCs w:val="20"/>
          <w:lang w:val="es-ES_tradnl" w:eastAsia="es-ES"/>
        </w:rPr>
        <w:t xml:space="preserve">este </w:t>
      </w:r>
      <w:r w:rsidR="00E52BD2" w:rsidRPr="00506D99">
        <w:rPr>
          <w:rFonts w:asciiTheme="majorHAnsi" w:hAnsiTheme="majorHAnsi" w:cs="Arial"/>
          <w:sz w:val="20"/>
          <w:szCs w:val="20"/>
          <w:lang w:val="es-ES_tradnl" w:eastAsia="es-ES"/>
        </w:rPr>
        <w:t>entró en vigor</w:t>
      </w:r>
      <w:r w:rsidR="00C342D9" w:rsidRPr="00506D99">
        <w:rPr>
          <w:rFonts w:asciiTheme="majorHAnsi" w:hAnsiTheme="majorHAnsi" w:cs="Arial"/>
          <w:sz w:val="20"/>
          <w:szCs w:val="20"/>
          <w:lang w:val="es-ES_tradnl" w:eastAsia="es-ES"/>
        </w:rPr>
        <w:t xml:space="preserve"> en 2014, más de </w:t>
      </w:r>
      <w:r w:rsidR="00E52BD2" w:rsidRPr="00506D99">
        <w:rPr>
          <w:rFonts w:asciiTheme="majorHAnsi" w:hAnsiTheme="majorHAnsi" w:cs="Arial"/>
          <w:sz w:val="20"/>
          <w:szCs w:val="20"/>
          <w:lang w:val="es-ES_tradnl" w:eastAsia="es-ES"/>
        </w:rPr>
        <w:t>tres</w:t>
      </w:r>
      <w:r w:rsidR="00C342D9" w:rsidRPr="00506D99">
        <w:rPr>
          <w:rFonts w:asciiTheme="majorHAnsi" w:hAnsiTheme="majorHAnsi" w:cs="Arial"/>
          <w:sz w:val="20"/>
          <w:szCs w:val="20"/>
          <w:lang w:val="es-ES_tradnl" w:eastAsia="es-ES"/>
        </w:rPr>
        <w:t xml:space="preserve"> años después del despido de la presunta víctima. </w:t>
      </w:r>
      <w:r w:rsidR="00E52BD2" w:rsidRPr="00506D99">
        <w:rPr>
          <w:rFonts w:asciiTheme="majorHAnsi" w:hAnsiTheme="majorHAnsi" w:cs="Arial"/>
          <w:sz w:val="20"/>
          <w:szCs w:val="20"/>
          <w:lang w:val="es-ES_tradnl" w:eastAsia="es-ES"/>
        </w:rPr>
        <w:t>Además</w:t>
      </w:r>
      <w:r w:rsidR="00C342D9" w:rsidRPr="00506D99">
        <w:rPr>
          <w:rFonts w:asciiTheme="majorHAnsi" w:hAnsiTheme="majorHAnsi" w:cs="Arial"/>
          <w:sz w:val="20"/>
          <w:szCs w:val="20"/>
          <w:lang w:val="es-ES_tradnl" w:eastAsia="es-ES"/>
        </w:rPr>
        <w:t xml:space="preserve">, </w:t>
      </w:r>
      <w:r w:rsidR="006E427C">
        <w:rPr>
          <w:rFonts w:asciiTheme="majorHAnsi" w:hAnsiTheme="majorHAnsi" w:cs="Arial"/>
          <w:sz w:val="20"/>
          <w:szCs w:val="20"/>
          <w:lang w:val="es-ES_tradnl" w:eastAsia="es-ES"/>
        </w:rPr>
        <w:t>tales</w:t>
      </w:r>
      <w:r w:rsidR="00C342D9" w:rsidRPr="00506D99">
        <w:rPr>
          <w:rFonts w:asciiTheme="majorHAnsi" w:hAnsiTheme="majorHAnsi" w:cs="Arial"/>
          <w:sz w:val="20"/>
          <w:szCs w:val="20"/>
          <w:lang w:val="es-ES_tradnl" w:eastAsia="es-ES"/>
        </w:rPr>
        <w:t xml:space="preserve"> mecanismos </w:t>
      </w:r>
      <w:r w:rsidR="006E427C">
        <w:rPr>
          <w:rFonts w:asciiTheme="majorHAnsi" w:hAnsiTheme="majorHAnsi" w:cs="Arial"/>
          <w:sz w:val="20"/>
          <w:szCs w:val="20"/>
          <w:lang w:val="es-ES_tradnl" w:eastAsia="es-ES"/>
        </w:rPr>
        <w:t xml:space="preserve">del </w:t>
      </w:r>
      <w:r w:rsidR="006E427C" w:rsidRPr="00506D99">
        <w:rPr>
          <w:rFonts w:asciiTheme="majorHAnsi" w:hAnsiTheme="majorHAnsi" w:cs="Arial"/>
          <w:sz w:val="20"/>
          <w:szCs w:val="20"/>
          <w:lang w:val="es-ES_tradnl" w:eastAsia="es-ES"/>
        </w:rPr>
        <w:t xml:space="preserve">código </w:t>
      </w:r>
      <w:r w:rsidR="006E427C">
        <w:rPr>
          <w:rFonts w:asciiTheme="majorHAnsi" w:hAnsiTheme="majorHAnsi" w:cs="Arial"/>
          <w:sz w:val="20"/>
          <w:szCs w:val="20"/>
          <w:lang w:val="es-ES_tradnl" w:eastAsia="es-ES"/>
        </w:rPr>
        <w:t xml:space="preserve">están previstos </w:t>
      </w:r>
      <w:r w:rsidR="00C342D9" w:rsidRPr="00506D99">
        <w:rPr>
          <w:rFonts w:asciiTheme="majorHAnsi" w:hAnsiTheme="majorHAnsi" w:cs="Arial"/>
          <w:sz w:val="20"/>
          <w:szCs w:val="20"/>
          <w:lang w:val="es-ES_tradnl" w:eastAsia="es-ES"/>
        </w:rPr>
        <w:t>para accion</w:t>
      </w:r>
      <w:r w:rsidR="006E427C">
        <w:rPr>
          <w:rFonts w:asciiTheme="majorHAnsi" w:hAnsiTheme="majorHAnsi" w:cs="Arial"/>
          <w:sz w:val="20"/>
          <w:szCs w:val="20"/>
          <w:lang w:val="es-ES_tradnl" w:eastAsia="es-ES"/>
        </w:rPr>
        <w:t>es</w:t>
      </w:r>
      <w:r w:rsidR="00C342D9" w:rsidRPr="00506D99">
        <w:rPr>
          <w:rFonts w:asciiTheme="majorHAnsi" w:hAnsiTheme="majorHAnsi" w:cs="Arial"/>
          <w:sz w:val="20"/>
          <w:szCs w:val="20"/>
          <w:lang w:val="es-ES_tradnl" w:eastAsia="es-ES"/>
        </w:rPr>
        <w:t xml:space="preserve"> disciplinari</w:t>
      </w:r>
      <w:r w:rsidR="006E427C">
        <w:rPr>
          <w:rFonts w:asciiTheme="majorHAnsi" w:hAnsiTheme="majorHAnsi" w:cs="Arial"/>
          <w:sz w:val="20"/>
          <w:szCs w:val="20"/>
          <w:lang w:val="es-ES_tradnl" w:eastAsia="es-ES"/>
        </w:rPr>
        <w:t>as</w:t>
      </w:r>
      <w:r w:rsidR="00C342D9" w:rsidRPr="00506D99">
        <w:rPr>
          <w:rFonts w:asciiTheme="majorHAnsi" w:hAnsiTheme="majorHAnsi" w:cs="Arial"/>
          <w:sz w:val="20"/>
          <w:szCs w:val="20"/>
          <w:lang w:val="es-ES_tradnl" w:eastAsia="es-ES"/>
        </w:rPr>
        <w:t xml:space="preserve"> </w:t>
      </w:r>
      <w:r w:rsidR="006E427C">
        <w:rPr>
          <w:rFonts w:asciiTheme="majorHAnsi" w:hAnsiTheme="majorHAnsi" w:cs="Arial"/>
          <w:sz w:val="20"/>
          <w:szCs w:val="20"/>
          <w:lang w:val="es-ES_tradnl" w:eastAsia="es-ES"/>
        </w:rPr>
        <w:t xml:space="preserve">a </w:t>
      </w:r>
      <w:r w:rsidR="006E427C" w:rsidRPr="00506D99">
        <w:rPr>
          <w:rFonts w:asciiTheme="majorHAnsi" w:hAnsiTheme="majorHAnsi" w:cs="Arial"/>
          <w:sz w:val="20"/>
          <w:szCs w:val="20"/>
          <w:lang w:val="es-ES_tradnl" w:eastAsia="es-ES"/>
        </w:rPr>
        <w:t>funcionarios</w:t>
      </w:r>
      <w:r w:rsidR="00C342D9" w:rsidRPr="00506D99">
        <w:rPr>
          <w:rFonts w:asciiTheme="majorHAnsi" w:hAnsiTheme="majorHAnsi" w:cs="Arial"/>
          <w:sz w:val="20"/>
          <w:szCs w:val="20"/>
          <w:lang w:val="es-ES_tradnl" w:eastAsia="es-ES"/>
        </w:rPr>
        <w:t xml:space="preserve"> de COCESNA, mientras que </w:t>
      </w:r>
      <w:r w:rsidR="006E427C">
        <w:rPr>
          <w:rFonts w:asciiTheme="majorHAnsi" w:hAnsiTheme="majorHAnsi" w:cs="Arial"/>
          <w:sz w:val="20"/>
          <w:szCs w:val="20"/>
          <w:lang w:val="es-ES_tradnl" w:eastAsia="es-ES"/>
        </w:rPr>
        <w:t xml:space="preserve">la presunta víctima </w:t>
      </w:r>
      <w:r w:rsidR="00C342D9" w:rsidRPr="00506D99">
        <w:rPr>
          <w:rFonts w:asciiTheme="majorHAnsi" w:hAnsiTheme="majorHAnsi" w:cs="Arial"/>
          <w:sz w:val="20"/>
          <w:szCs w:val="20"/>
          <w:lang w:val="es-ES_tradnl" w:eastAsia="es-ES"/>
        </w:rPr>
        <w:t>fue despedid</w:t>
      </w:r>
      <w:r w:rsidR="006E427C">
        <w:rPr>
          <w:rFonts w:asciiTheme="majorHAnsi" w:hAnsiTheme="majorHAnsi" w:cs="Arial"/>
          <w:sz w:val="20"/>
          <w:szCs w:val="20"/>
          <w:lang w:val="es-ES_tradnl" w:eastAsia="es-ES"/>
        </w:rPr>
        <w:t>a</w:t>
      </w:r>
      <w:r w:rsidR="00C342D9" w:rsidRPr="00506D99">
        <w:rPr>
          <w:rFonts w:asciiTheme="majorHAnsi" w:hAnsiTheme="majorHAnsi" w:cs="Arial"/>
          <w:sz w:val="20"/>
          <w:szCs w:val="20"/>
          <w:lang w:val="es-ES_tradnl" w:eastAsia="es-ES"/>
        </w:rPr>
        <w:t xml:space="preserve"> a consecuencia de una supuesta reestructuración.</w:t>
      </w:r>
      <w:r w:rsidR="0001489E" w:rsidRPr="00506D99">
        <w:rPr>
          <w:rFonts w:asciiTheme="majorHAnsi" w:hAnsiTheme="majorHAnsi" w:cs="Arial"/>
          <w:sz w:val="20"/>
          <w:szCs w:val="20"/>
          <w:lang w:val="es-ES_tradnl" w:eastAsia="es-ES"/>
        </w:rPr>
        <w:t xml:space="preserve"> </w:t>
      </w:r>
      <w:r w:rsidR="00915C27" w:rsidRPr="00506D99">
        <w:rPr>
          <w:rFonts w:asciiTheme="majorHAnsi" w:hAnsiTheme="majorHAnsi" w:cs="Arial"/>
          <w:sz w:val="20"/>
          <w:szCs w:val="20"/>
          <w:lang w:val="es-ES_tradnl" w:eastAsia="es-ES"/>
        </w:rPr>
        <w:t xml:space="preserve">Añade </w:t>
      </w:r>
      <w:r w:rsidR="006E427C">
        <w:rPr>
          <w:rFonts w:asciiTheme="majorHAnsi" w:hAnsiTheme="majorHAnsi" w:cs="Arial"/>
          <w:sz w:val="20"/>
          <w:szCs w:val="20"/>
          <w:lang w:val="es-ES_tradnl" w:eastAsia="es-ES"/>
        </w:rPr>
        <w:t xml:space="preserve">el peticionario </w:t>
      </w:r>
      <w:r w:rsidR="00915C27" w:rsidRPr="00506D99">
        <w:rPr>
          <w:rFonts w:asciiTheme="majorHAnsi" w:hAnsiTheme="majorHAnsi" w:cs="Arial"/>
          <w:sz w:val="20"/>
          <w:szCs w:val="20"/>
          <w:lang w:val="es-ES_tradnl" w:eastAsia="es-ES"/>
        </w:rPr>
        <w:t xml:space="preserve">que el Código de Servicios previo adoptado por COCESNA en 1988 no hacía remisión </w:t>
      </w:r>
      <w:r w:rsidR="006E427C">
        <w:rPr>
          <w:rFonts w:asciiTheme="majorHAnsi" w:hAnsiTheme="majorHAnsi" w:cs="Arial"/>
          <w:sz w:val="20"/>
          <w:szCs w:val="20"/>
          <w:lang w:val="es-ES_tradnl" w:eastAsia="es-ES"/>
        </w:rPr>
        <w:t xml:space="preserve">alguna </w:t>
      </w:r>
      <w:r w:rsidR="00915C27" w:rsidRPr="00506D99">
        <w:rPr>
          <w:rFonts w:asciiTheme="majorHAnsi" w:hAnsiTheme="majorHAnsi" w:cs="Arial"/>
          <w:sz w:val="20"/>
          <w:szCs w:val="20"/>
          <w:lang w:val="es-ES_tradnl" w:eastAsia="es-ES"/>
        </w:rPr>
        <w:t>a la Corte Centroamericana</w:t>
      </w:r>
      <w:r w:rsidR="006E427C" w:rsidRPr="006E427C">
        <w:rPr>
          <w:rFonts w:asciiTheme="majorHAnsi" w:hAnsiTheme="majorHAnsi" w:cs="Arial"/>
          <w:sz w:val="20"/>
          <w:szCs w:val="20"/>
          <w:lang w:val="es-ES_tradnl" w:eastAsia="es-ES"/>
        </w:rPr>
        <w:t xml:space="preserve"> </w:t>
      </w:r>
      <w:r w:rsidR="006E427C" w:rsidRPr="00506D99">
        <w:rPr>
          <w:rFonts w:asciiTheme="majorHAnsi" w:hAnsiTheme="majorHAnsi" w:cs="Arial"/>
          <w:sz w:val="20"/>
          <w:szCs w:val="20"/>
          <w:lang w:val="es-ES_tradnl" w:eastAsia="es-ES"/>
        </w:rPr>
        <w:t>de Justicia</w:t>
      </w:r>
      <w:r w:rsidR="00180A39" w:rsidRPr="00506D99">
        <w:rPr>
          <w:rFonts w:asciiTheme="majorHAnsi" w:hAnsiTheme="majorHAnsi" w:cs="Arial"/>
          <w:sz w:val="20"/>
          <w:szCs w:val="20"/>
          <w:lang w:val="es-ES_tradnl" w:eastAsia="es-ES"/>
        </w:rPr>
        <w:t>,</w:t>
      </w:r>
      <w:r w:rsidR="00915C27" w:rsidRPr="00506D99">
        <w:rPr>
          <w:rFonts w:asciiTheme="majorHAnsi" w:hAnsiTheme="majorHAnsi" w:cs="Arial"/>
          <w:sz w:val="20"/>
          <w:szCs w:val="20"/>
          <w:lang w:val="es-ES_tradnl" w:eastAsia="es-ES"/>
        </w:rPr>
        <w:t xml:space="preserve"> sino que </w:t>
      </w:r>
      <w:r w:rsidR="00180A39" w:rsidRPr="00506D99">
        <w:rPr>
          <w:rFonts w:asciiTheme="majorHAnsi" w:hAnsiTheme="majorHAnsi" w:cs="Arial"/>
          <w:sz w:val="20"/>
          <w:szCs w:val="20"/>
          <w:lang w:val="es-ES_tradnl" w:eastAsia="es-ES"/>
        </w:rPr>
        <w:t xml:space="preserve">preveía la adopción de un reglamento interno de trabajo. A juicio del peticionario, esta referencia a un reglamento interno de trabajo en su Código de Servicios implica que COCESNA aceptó someterse a la jurisdicción </w:t>
      </w:r>
      <w:r w:rsidR="006E427C">
        <w:rPr>
          <w:rFonts w:asciiTheme="majorHAnsi" w:hAnsiTheme="majorHAnsi" w:cs="Arial"/>
          <w:sz w:val="20"/>
          <w:szCs w:val="20"/>
          <w:lang w:val="es-ES_tradnl" w:eastAsia="es-ES"/>
        </w:rPr>
        <w:t>laboral interna</w:t>
      </w:r>
      <w:r w:rsidR="00180A39" w:rsidRPr="00506D99">
        <w:rPr>
          <w:rFonts w:asciiTheme="majorHAnsi" w:hAnsiTheme="majorHAnsi" w:cs="Arial"/>
          <w:sz w:val="20"/>
          <w:szCs w:val="20"/>
          <w:lang w:val="es-ES_tradnl" w:eastAsia="es-ES"/>
        </w:rPr>
        <w:t xml:space="preserve">. </w:t>
      </w:r>
    </w:p>
    <w:p w14:paraId="272BCF42" w14:textId="77777777" w:rsidR="005E22EE" w:rsidRPr="00506D99" w:rsidRDefault="005E22EE" w:rsidP="00E20A73">
      <w:pPr>
        <w:pStyle w:val="Default"/>
        <w:spacing w:after="0" w:line="240" w:lineRule="auto"/>
        <w:jc w:val="both"/>
        <w:rPr>
          <w:rFonts w:asciiTheme="majorHAnsi" w:hAnsiTheme="majorHAnsi" w:cs="Arial"/>
          <w:sz w:val="16"/>
          <w:szCs w:val="16"/>
          <w:lang w:val="es-ES_tradnl" w:eastAsia="es-ES"/>
        </w:rPr>
      </w:pPr>
    </w:p>
    <w:p w14:paraId="10F62A0B" w14:textId="3E176E93" w:rsidR="00450E17" w:rsidRPr="00506D99" w:rsidRDefault="006E427C" w:rsidP="00E20A73">
      <w:pPr>
        <w:pStyle w:val="Default"/>
        <w:numPr>
          <w:ilvl w:val="0"/>
          <w:numId w:val="55"/>
        </w:numPr>
        <w:spacing w:after="0" w:line="240" w:lineRule="auto"/>
        <w:jc w:val="both"/>
        <w:rPr>
          <w:rFonts w:asciiTheme="majorHAnsi" w:hAnsiTheme="majorHAnsi" w:cs="Arial"/>
          <w:sz w:val="16"/>
          <w:szCs w:val="16"/>
          <w:lang w:val="es-ES_tradnl" w:eastAsia="es-ES"/>
        </w:rPr>
      </w:pPr>
      <w:r>
        <w:rPr>
          <w:rFonts w:asciiTheme="majorHAnsi" w:hAnsiTheme="majorHAnsi" w:cs="Arial"/>
          <w:sz w:val="20"/>
          <w:szCs w:val="20"/>
          <w:lang w:val="es-ES_tradnl" w:eastAsia="es-ES"/>
        </w:rPr>
        <w:t>El peticionario a</w:t>
      </w:r>
      <w:r w:rsidR="005E22EE" w:rsidRPr="00506D99">
        <w:rPr>
          <w:rFonts w:asciiTheme="majorHAnsi" w:hAnsiTheme="majorHAnsi" w:cs="Arial"/>
          <w:sz w:val="20"/>
          <w:szCs w:val="20"/>
          <w:lang w:val="es-ES_tradnl" w:eastAsia="es-ES"/>
        </w:rPr>
        <w:t>firma</w:t>
      </w:r>
      <w:r w:rsidR="0001489E" w:rsidRPr="00506D99">
        <w:rPr>
          <w:rFonts w:asciiTheme="majorHAnsi" w:hAnsiTheme="majorHAnsi" w:cs="Arial"/>
          <w:sz w:val="20"/>
          <w:szCs w:val="20"/>
          <w:lang w:val="es-ES_tradnl" w:eastAsia="es-ES"/>
        </w:rPr>
        <w:t xml:space="preserve"> </w:t>
      </w:r>
      <w:r>
        <w:rPr>
          <w:rFonts w:asciiTheme="majorHAnsi" w:hAnsiTheme="majorHAnsi" w:cs="Arial"/>
          <w:sz w:val="20"/>
          <w:szCs w:val="20"/>
          <w:lang w:val="es-ES_tradnl" w:eastAsia="es-ES"/>
        </w:rPr>
        <w:t xml:space="preserve">igualmente </w:t>
      </w:r>
      <w:r w:rsidR="0001489E" w:rsidRPr="00506D99">
        <w:rPr>
          <w:rFonts w:asciiTheme="majorHAnsi" w:hAnsiTheme="majorHAnsi" w:cs="Arial"/>
          <w:sz w:val="20"/>
          <w:szCs w:val="20"/>
          <w:lang w:val="es-ES_tradnl" w:eastAsia="es-ES"/>
        </w:rPr>
        <w:t>que los procedimientos de mediaci</w:t>
      </w:r>
      <w:r w:rsidR="00974DD6" w:rsidRPr="00506D99">
        <w:rPr>
          <w:rFonts w:asciiTheme="majorHAnsi" w:hAnsiTheme="majorHAnsi" w:cs="Arial"/>
          <w:sz w:val="20"/>
          <w:szCs w:val="20"/>
          <w:lang w:val="es-ES_tradnl" w:eastAsia="es-ES"/>
        </w:rPr>
        <w:t>ón y arbitraje son de naturaleza voluntaria</w:t>
      </w:r>
      <w:r w:rsidR="007A1E68" w:rsidRPr="00506D99">
        <w:rPr>
          <w:rFonts w:asciiTheme="majorHAnsi" w:hAnsiTheme="majorHAnsi" w:cs="Arial"/>
          <w:sz w:val="20"/>
          <w:szCs w:val="20"/>
          <w:lang w:val="es-ES_tradnl" w:eastAsia="es-ES"/>
        </w:rPr>
        <w:t>;</w:t>
      </w:r>
      <w:r w:rsidR="00974DD6" w:rsidRPr="00506D99">
        <w:rPr>
          <w:rFonts w:asciiTheme="majorHAnsi" w:hAnsiTheme="majorHAnsi" w:cs="Arial"/>
          <w:sz w:val="20"/>
          <w:szCs w:val="20"/>
          <w:lang w:val="es-ES_tradnl" w:eastAsia="es-ES"/>
        </w:rPr>
        <w:t xml:space="preserve"> y</w:t>
      </w:r>
      <w:r w:rsidR="0001489E" w:rsidRPr="00506D99">
        <w:rPr>
          <w:rFonts w:asciiTheme="majorHAnsi" w:hAnsiTheme="majorHAnsi" w:cs="Arial"/>
          <w:sz w:val="20"/>
          <w:szCs w:val="20"/>
          <w:lang w:val="es-ES_tradnl" w:eastAsia="es-ES"/>
        </w:rPr>
        <w:t xml:space="preserve"> que la Corte Centroamericana no tendría competencia para conocer el caso de la presunta víctima</w:t>
      </w:r>
      <w:r>
        <w:rPr>
          <w:rFonts w:asciiTheme="majorHAnsi" w:hAnsiTheme="majorHAnsi" w:cs="Arial"/>
          <w:sz w:val="20"/>
          <w:szCs w:val="20"/>
          <w:lang w:val="es-ES_tradnl" w:eastAsia="es-ES"/>
        </w:rPr>
        <w:t>,</w:t>
      </w:r>
      <w:r w:rsidR="0001489E" w:rsidRPr="00506D99">
        <w:rPr>
          <w:rFonts w:asciiTheme="majorHAnsi" w:hAnsiTheme="majorHAnsi" w:cs="Arial"/>
          <w:sz w:val="20"/>
          <w:szCs w:val="20"/>
          <w:lang w:val="es-ES_tradnl" w:eastAsia="es-ES"/>
        </w:rPr>
        <w:t xml:space="preserve"> pues su estatuto indica que </w:t>
      </w:r>
      <w:r>
        <w:rPr>
          <w:rFonts w:asciiTheme="majorHAnsi" w:hAnsiTheme="majorHAnsi" w:cs="Arial"/>
          <w:sz w:val="20"/>
          <w:szCs w:val="20"/>
          <w:lang w:val="es-ES_tradnl" w:eastAsia="es-ES"/>
        </w:rPr>
        <w:t xml:space="preserve">solo </w:t>
      </w:r>
      <w:r w:rsidR="0001489E" w:rsidRPr="00506D99">
        <w:rPr>
          <w:rFonts w:asciiTheme="majorHAnsi" w:hAnsiTheme="majorHAnsi" w:cs="Arial"/>
          <w:sz w:val="20"/>
          <w:szCs w:val="20"/>
          <w:lang w:val="es-ES_tradnl" w:eastAsia="es-ES"/>
        </w:rPr>
        <w:t>puede conocer apelaciones sobre resoluciones administrativas de órganos del SICA que afecten a su personal tras una denegada reposición, supuesto distinto al de</w:t>
      </w:r>
      <w:r w:rsidR="007A4A52">
        <w:rPr>
          <w:rFonts w:asciiTheme="majorHAnsi" w:hAnsiTheme="majorHAnsi" w:cs="Arial"/>
          <w:sz w:val="20"/>
          <w:szCs w:val="20"/>
          <w:lang w:val="es-ES_tradnl" w:eastAsia="es-ES"/>
        </w:rPr>
        <w:t xml:space="preserve"> aquella</w:t>
      </w:r>
      <w:r w:rsidR="0001489E" w:rsidRPr="00506D99">
        <w:rPr>
          <w:rFonts w:asciiTheme="majorHAnsi" w:hAnsiTheme="majorHAnsi" w:cs="Arial"/>
          <w:sz w:val="20"/>
          <w:szCs w:val="20"/>
          <w:lang w:val="es-ES_tradnl" w:eastAsia="es-ES"/>
        </w:rPr>
        <w:t xml:space="preserve">. </w:t>
      </w:r>
      <w:r w:rsidR="00CF3C13" w:rsidRPr="00506D99">
        <w:rPr>
          <w:rFonts w:asciiTheme="majorHAnsi" w:hAnsiTheme="majorHAnsi" w:cs="Arial"/>
          <w:sz w:val="20"/>
          <w:szCs w:val="20"/>
          <w:lang w:val="es-ES_tradnl" w:eastAsia="es-ES"/>
        </w:rPr>
        <w:t>A</w:t>
      </w:r>
      <w:r w:rsidR="007A4A52">
        <w:rPr>
          <w:rFonts w:asciiTheme="majorHAnsi" w:hAnsiTheme="majorHAnsi" w:cs="Arial"/>
          <w:sz w:val="20"/>
          <w:szCs w:val="20"/>
          <w:lang w:val="es-ES_tradnl" w:eastAsia="es-ES"/>
        </w:rPr>
        <w:t>lega además</w:t>
      </w:r>
      <w:r w:rsidR="00CF3C13" w:rsidRPr="00506D99">
        <w:rPr>
          <w:rFonts w:asciiTheme="majorHAnsi" w:hAnsiTheme="majorHAnsi" w:cs="Arial"/>
          <w:sz w:val="20"/>
          <w:szCs w:val="20"/>
          <w:lang w:val="es-ES_tradnl" w:eastAsia="es-ES"/>
        </w:rPr>
        <w:t xml:space="preserve"> que la Corte Centroamericana carece de competencia para pronunciarse sobre asuntos que afecten sus derechos humanos pues el artículo 25 de su estatuto dispone que "</w:t>
      </w:r>
      <w:r w:rsidR="007A4A52">
        <w:rPr>
          <w:rFonts w:asciiTheme="majorHAnsi" w:hAnsiTheme="majorHAnsi" w:cs="Arial"/>
          <w:sz w:val="20"/>
          <w:szCs w:val="20"/>
          <w:lang w:val="es-ES_tradnl" w:eastAsia="es-ES"/>
        </w:rPr>
        <w:t>l</w:t>
      </w:r>
      <w:r w:rsidR="00CF3C13" w:rsidRPr="00506D99">
        <w:rPr>
          <w:rFonts w:asciiTheme="majorHAnsi" w:hAnsiTheme="majorHAnsi" w:cs="Arial"/>
          <w:sz w:val="20"/>
          <w:szCs w:val="20"/>
          <w:lang w:val="es-ES_tradnl" w:eastAsia="es-ES"/>
        </w:rPr>
        <w:t>a competencia de la Corte no se extiende a la materia de derechos humanos, la cual corresponde exclusivamente a la Corte Interamericana de Derechos Humanos”.</w:t>
      </w:r>
      <w:r w:rsidR="00AA0265" w:rsidRPr="00506D99">
        <w:rPr>
          <w:rFonts w:asciiTheme="majorHAnsi" w:hAnsiTheme="majorHAnsi" w:cs="Arial"/>
          <w:sz w:val="20"/>
          <w:szCs w:val="20"/>
          <w:lang w:val="es-ES_tradnl" w:eastAsia="es-ES"/>
        </w:rPr>
        <w:t xml:space="preserve"> </w:t>
      </w:r>
      <w:r w:rsidR="00AA0265" w:rsidRPr="00506D99">
        <w:rPr>
          <w:rFonts w:asciiTheme="majorHAnsi" w:hAnsiTheme="majorHAnsi" w:cs="Arial"/>
          <w:color w:val="auto"/>
          <w:sz w:val="20"/>
          <w:szCs w:val="20"/>
          <w:lang w:val="es-ES_tradnl" w:eastAsia="es-ES"/>
        </w:rPr>
        <w:t>La petición reconoce que en 2019 la Corte Centroamericana emitió una opinión consultiva</w:t>
      </w:r>
      <w:r w:rsidR="00C14D4D" w:rsidRPr="00506D99">
        <w:rPr>
          <w:rFonts w:asciiTheme="majorHAnsi" w:hAnsiTheme="majorHAnsi" w:cs="Arial"/>
          <w:color w:val="auto"/>
          <w:sz w:val="20"/>
          <w:szCs w:val="20"/>
          <w:lang w:val="es-ES_tradnl" w:eastAsia="es-ES"/>
        </w:rPr>
        <w:t xml:space="preserve"> en la que afirmó su jurisdicción sobre los asuntos laborales de COCESNA</w:t>
      </w:r>
      <w:r w:rsidR="007A1E68" w:rsidRPr="00506D99">
        <w:rPr>
          <w:rFonts w:asciiTheme="majorHAnsi" w:hAnsiTheme="majorHAnsi" w:cs="Arial"/>
          <w:color w:val="auto"/>
          <w:sz w:val="20"/>
          <w:szCs w:val="20"/>
          <w:lang w:val="es-ES_tradnl" w:eastAsia="es-ES"/>
        </w:rPr>
        <w:t>; s</w:t>
      </w:r>
      <w:r w:rsidR="00C14D4D" w:rsidRPr="00506D99">
        <w:rPr>
          <w:rFonts w:asciiTheme="majorHAnsi" w:hAnsiTheme="majorHAnsi" w:cs="Arial"/>
          <w:color w:val="auto"/>
          <w:sz w:val="20"/>
          <w:szCs w:val="20"/>
          <w:lang w:val="es-ES_tradnl" w:eastAsia="es-ES"/>
        </w:rPr>
        <w:t>in embargo, argumenta que esta opinión no resulta relevante para el caso de la presunta víctima</w:t>
      </w:r>
      <w:r w:rsidR="007A4A52">
        <w:rPr>
          <w:rFonts w:asciiTheme="majorHAnsi" w:hAnsiTheme="majorHAnsi" w:cs="Arial"/>
          <w:color w:val="auto"/>
          <w:sz w:val="20"/>
          <w:szCs w:val="20"/>
          <w:lang w:val="es-ES_tradnl" w:eastAsia="es-ES"/>
        </w:rPr>
        <w:t>,</w:t>
      </w:r>
      <w:r w:rsidR="00C14D4D" w:rsidRPr="00506D99">
        <w:rPr>
          <w:rFonts w:asciiTheme="majorHAnsi" w:hAnsiTheme="majorHAnsi" w:cs="Arial"/>
          <w:color w:val="auto"/>
          <w:sz w:val="20"/>
          <w:szCs w:val="20"/>
          <w:lang w:val="es-ES_tradnl" w:eastAsia="es-ES"/>
        </w:rPr>
        <w:t xml:space="preserve"> qu</w:t>
      </w:r>
      <w:r w:rsidR="007A4A52">
        <w:rPr>
          <w:rFonts w:asciiTheme="majorHAnsi" w:hAnsiTheme="majorHAnsi" w:cs="Arial"/>
          <w:color w:val="auto"/>
          <w:sz w:val="20"/>
          <w:szCs w:val="20"/>
          <w:lang w:val="es-ES_tradnl" w:eastAsia="es-ES"/>
        </w:rPr>
        <w:t>e</w:t>
      </w:r>
      <w:r w:rsidR="00C14D4D" w:rsidRPr="00506D99">
        <w:rPr>
          <w:rFonts w:asciiTheme="majorHAnsi" w:hAnsiTheme="majorHAnsi" w:cs="Arial"/>
          <w:color w:val="auto"/>
          <w:sz w:val="20"/>
          <w:szCs w:val="20"/>
          <w:lang w:val="es-ES_tradnl" w:eastAsia="es-ES"/>
        </w:rPr>
        <w:t xml:space="preserve"> fue despedid</w:t>
      </w:r>
      <w:r w:rsidR="007A4A52">
        <w:rPr>
          <w:rFonts w:asciiTheme="majorHAnsi" w:hAnsiTheme="majorHAnsi" w:cs="Arial"/>
          <w:color w:val="auto"/>
          <w:sz w:val="20"/>
          <w:szCs w:val="20"/>
          <w:lang w:val="es-ES_tradnl" w:eastAsia="es-ES"/>
        </w:rPr>
        <w:t>a</w:t>
      </w:r>
      <w:r w:rsidR="00C14D4D" w:rsidRPr="00506D99">
        <w:rPr>
          <w:rFonts w:asciiTheme="majorHAnsi" w:hAnsiTheme="majorHAnsi" w:cs="Arial"/>
          <w:color w:val="auto"/>
          <w:sz w:val="20"/>
          <w:szCs w:val="20"/>
          <w:lang w:val="es-ES_tradnl" w:eastAsia="es-ES"/>
        </w:rPr>
        <w:t xml:space="preserve"> </w:t>
      </w:r>
      <w:r w:rsidR="007A1E68" w:rsidRPr="00506D99">
        <w:rPr>
          <w:rFonts w:asciiTheme="majorHAnsi" w:hAnsiTheme="majorHAnsi" w:cs="Arial"/>
          <w:color w:val="auto"/>
          <w:sz w:val="20"/>
          <w:szCs w:val="20"/>
          <w:lang w:val="es-ES_tradnl" w:eastAsia="es-ES"/>
        </w:rPr>
        <w:t>siete</w:t>
      </w:r>
      <w:r w:rsidR="00C14D4D" w:rsidRPr="00506D99">
        <w:rPr>
          <w:rFonts w:asciiTheme="majorHAnsi" w:hAnsiTheme="majorHAnsi" w:cs="Arial"/>
          <w:color w:val="auto"/>
          <w:sz w:val="20"/>
          <w:szCs w:val="20"/>
          <w:lang w:val="es-ES_tradnl" w:eastAsia="es-ES"/>
        </w:rPr>
        <w:t xml:space="preserve"> años antes d</w:t>
      </w:r>
      <w:r w:rsidR="007A4A52">
        <w:rPr>
          <w:rFonts w:asciiTheme="majorHAnsi" w:hAnsiTheme="majorHAnsi" w:cs="Arial"/>
          <w:color w:val="auto"/>
          <w:sz w:val="20"/>
          <w:szCs w:val="20"/>
          <w:lang w:val="es-ES_tradnl" w:eastAsia="es-ES"/>
        </w:rPr>
        <w:t xml:space="preserve">e tal </w:t>
      </w:r>
      <w:r w:rsidR="00C14D4D" w:rsidRPr="00506D99">
        <w:rPr>
          <w:rFonts w:asciiTheme="majorHAnsi" w:hAnsiTheme="majorHAnsi" w:cs="Arial"/>
          <w:color w:val="auto"/>
          <w:sz w:val="20"/>
          <w:szCs w:val="20"/>
          <w:lang w:val="es-ES_tradnl" w:eastAsia="es-ES"/>
        </w:rPr>
        <w:t>opinión.</w:t>
      </w:r>
    </w:p>
    <w:p w14:paraId="05675341" w14:textId="77777777" w:rsidR="0001489E" w:rsidRPr="00506D99" w:rsidRDefault="0001489E" w:rsidP="007A4A52">
      <w:pPr>
        <w:pStyle w:val="Default"/>
        <w:spacing w:after="0" w:line="240" w:lineRule="auto"/>
        <w:jc w:val="both"/>
        <w:rPr>
          <w:rFonts w:asciiTheme="majorHAnsi" w:hAnsiTheme="majorHAnsi" w:cs="Arial"/>
          <w:sz w:val="16"/>
          <w:szCs w:val="16"/>
          <w:lang w:val="es-ES_tradnl" w:eastAsia="es-ES"/>
        </w:rPr>
      </w:pPr>
    </w:p>
    <w:p w14:paraId="61C5DB29" w14:textId="52882B00" w:rsidR="00DF4939" w:rsidRPr="00BF4837" w:rsidRDefault="00974DD6" w:rsidP="00A233B1">
      <w:pPr>
        <w:pStyle w:val="Default"/>
        <w:numPr>
          <w:ilvl w:val="0"/>
          <w:numId w:val="55"/>
        </w:numPr>
        <w:spacing w:after="0" w:line="240" w:lineRule="auto"/>
        <w:jc w:val="both"/>
        <w:rPr>
          <w:rFonts w:asciiTheme="majorHAnsi" w:hAnsiTheme="majorHAnsi" w:cs="Arial"/>
          <w:sz w:val="20"/>
          <w:szCs w:val="20"/>
          <w:lang w:val="es-ES_tradnl" w:eastAsia="es-ES"/>
        </w:rPr>
      </w:pPr>
      <w:r w:rsidRPr="00394FC3">
        <w:rPr>
          <w:rFonts w:asciiTheme="majorHAnsi" w:hAnsiTheme="majorHAnsi" w:cs="Arial"/>
          <w:sz w:val="20"/>
          <w:szCs w:val="20"/>
          <w:lang w:val="es-ES_tradnl" w:eastAsia="es-ES"/>
        </w:rPr>
        <w:t>El Estado, por su parte,</w:t>
      </w:r>
      <w:r w:rsidR="000D1333" w:rsidRPr="00394FC3">
        <w:rPr>
          <w:rFonts w:asciiTheme="majorHAnsi" w:hAnsiTheme="majorHAnsi" w:cs="Arial"/>
          <w:sz w:val="20"/>
          <w:szCs w:val="20"/>
          <w:lang w:val="es-ES_tradnl" w:eastAsia="es-ES"/>
        </w:rPr>
        <w:t xml:space="preserve"> solicita que la petición sea inadmitida por </w:t>
      </w:r>
      <w:r w:rsidR="00A538CC" w:rsidRPr="00394FC3">
        <w:rPr>
          <w:rFonts w:asciiTheme="majorHAnsi" w:hAnsiTheme="majorHAnsi" w:cs="Arial"/>
          <w:sz w:val="20"/>
          <w:szCs w:val="20"/>
          <w:lang w:val="es-ES_tradnl" w:eastAsia="es-ES"/>
        </w:rPr>
        <w:t>ausencia de</w:t>
      </w:r>
      <w:r w:rsidR="000D1333" w:rsidRPr="00394FC3">
        <w:rPr>
          <w:rFonts w:asciiTheme="majorHAnsi" w:hAnsiTheme="majorHAnsi" w:cs="Arial"/>
          <w:sz w:val="20"/>
          <w:szCs w:val="20"/>
          <w:lang w:val="es-ES_tradnl" w:eastAsia="es-ES"/>
        </w:rPr>
        <w:t xml:space="preserve"> violaciones y por falta de competencia </w:t>
      </w:r>
      <w:r w:rsidR="000D1333" w:rsidRPr="00394FC3">
        <w:rPr>
          <w:rFonts w:asciiTheme="majorHAnsi" w:hAnsiTheme="majorHAnsi" w:cs="Arial"/>
          <w:i/>
          <w:sz w:val="20"/>
          <w:szCs w:val="20"/>
          <w:lang w:val="es-ES_tradnl" w:eastAsia="es-ES"/>
        </w:rPr>
        <w:t>ratione materiae</w:t>
      </w:r>
      <w:r w:rsidR="000D1333" w:rsidRPr="00394FC3">
        <w:rPr>
          <w:rFonts w:asciiTheme="majorHAnsi" w:hAnsiTheme="majorHAnsi" w:cs="Arial"/>
          <w:sz w:val="20"/>
          <w:szCs w:val="20"/>
          <w:lang w:val="es-ES_tradnl" w:eastAsia="es-ES"/>
        </w:rPr>
        <w:t xml:space="preserve"> de los órganos del </w:t>
      </w:r>
      <w:r w:rsidR="00A538CC" w:rsidRPr="00394FC3">
        <w:rPr>
          <w:rFonts w:asciiTheme="majorHAnsi" w:hAnsiTheme="majorHAnsi" w:cs="Arial"/>
          <w:sz w:val="20"/>
          <w:szCs w:val="20"/>
          <w:lang w:val="es-ES_tradnl" w:eastAsia="es-ES"/>
        </w:rPr>
        <w:t>s</w:t>
      </w:r>
      <w:r w:rsidR="000D1333" w:rsidRPr="00394FC3">
        <w:rPr>
          <w:rFonts w:asciiTheme="majorHAnsi" w:hAnsiTheme="majorHAnsi" w:cs="Arial"/>
          <w:sz w:val="20"/>
          <w:szCs w:val="20"/>
          <w:lang w:val="es-ES_tradnl" w:eastAsia="es-ES"/>
        </w:rPr>
        <w:t xml:space="preserve">istema </w:t>
      </w:r>
      <w:r w:rsidR="00A538CC" w:rsidRPr="00394FC3">
        <w:rPr>
          <w:rFonts w:asciiTheme="majorHAnsi" w:hAnsiTheme="majorHAnsi" w:cs="Arial"/>
          <w:sz w:val="20"/>
          <w:szCs w:val="20"/>
          <w:lang w:val="es-ES_tradnl" w:eastAsia="es-ES"/>
        </w:rPr>
        <w:t>i</w:t>
      </w:r>
      <w:r w:rsidR="000D1333" w:rsidRPr="00394FC3">
        <w:rPr>
          <w:rFonts w:asciiTheme="majorHAnsi" w:hAnsiTheme="majorHAnsi" w:cs="Arial"/>
          <w:sz w:val="20"/>
          <w:szCs w:val="20"/>
          <w:lang w:val="es-ES_tradnl" w:eastAsia="es-ES"/>
        </w:rPr>
        <w:t xml:space="preserve">nteramericano. </w:t>
      </w:r>
      <w:r w:rsidR="00394FC3">
        <w:rPr>
          <w:rFonts w:asciiTheme="majorHAnsi" w:hAnsiTheme="majorHAnsi" w:cs="Arial"/>
          <w:sz w:val="20"/>
          <w:szCs w:val="20"/>
          <w:lang w:val="es-ES_tradnl" w:eastAsia="es-ES"/>
        </w:rPr>
        <w:t xml:space="preserve">Sostiene </w:t>
      </w:r>
      <w:r w:rsidR="000D1333" w:rsidRPr="00394FC3">
        <w:rPr>
          <w:rFonts w:asciiTheme="majorHAnsi" w:hAnsiTheme="majorHAnsi" w:cs="Arial"/>
          <w:sz w:val="20"/>
          <w:szCs w:val="20"/>
          <w:lang w:val="es-ES_tradnl" w:eastAsia="es-ES"/>
        </w:rPr>
        <w:t xml:space="preserve">que el 2 de abril de 2001 </w:t>
      </w:r>
      <w:r w:rsidR="006C2CFC">
        <w:rPr>
          <w:rFonts w:asciiTheme="majorHAnsi" w:hAnsiTheme="majorHAnsi" w:cs="Arial"/>
          <w:sz w:val="20"/>
          <w:szCs w:val="20"/>
          <w:lang w:val="es-ES_tradnl" w:eastAsia="es-ES"/>
        </w:rPr>
        <w:t>–</w:t>
      </w:r>
      <w:r w:rsidR="00E23A40" w:rsidRPr="00394FC3">
        <w:rPr>
          <w:rFonts w:asciiTheme="majorHAnsi" w:hAnsiTheme="majorHAnsi" w:cs="Arial"/>
          <w:sz w:val="20"/>
          <w:szCs w:val="20"/>
          <w:lang w:val="es-ES_tradnl" w:eastAsia="es-ES"/>
        </w:rPr>
        <w:t>diez</w:t>
      </w:r>
      <w:r w:rsidR="006C2CFC">
        <w:rPr>
          <w:rFonts w:asciiTheme="majorHAnsi" w:hAnsiTheme="majorHAnsi" w:cs="Arial"/>
          <w:sz w:val="20"/>
          <w:szCs w:val="20"/>
          <w:lang w:val="es-ES_tradnl" w:eastAsia="es-ES"/>
        </w:rPr>
        <w:t xml:space="preserve"> años</w:t>
      </w:r>
      <w:r w:rsidR="00E23A40" w:rsidRPr="00394FC3">
        <w:rPr>
          <w:rFonts w:asciiTheme="majorHAnsi" w:hAnsiTheme="majorHAnsi" w:cs="Arial"/>
          <w:sz w:val="20"/>
          <w:szCs w:val="20"/>
          <w:lang w:val="es-ES_tradnl" w:eastAsia="es-ES"/>
        </w:rPr>
        <w:t xml:space="preserve"> antes del despido de</w:t>
      </w:r>
      <w:r w:rsidR="00394FC3">
        <w:rPr>
          <w:rFonts w:asciiTheme="majorHAnsi" w:hAnsiTheme="majorHAnsi" w:cs="Arial"/>
          <w:sz w:val="20"/>
          <w:szCs w:val="20"/>
          <w:lang w:val="es-ES_tradnl" w:eastAsia="es-ES"/>
        </w:rPr>
        <w:t xml:space="preserve"> </w:t>
      </w:r>
      <w:r w:rsidR="00E23A40" w:rsidRPr="00394FC3">
        <w:rPr>
          <w:rFonts w:asciiTheme="majorHAnsi" w:hAnsiTheme="majorHAnsi" w:cs="Arial"/>
          <w:sz w:val="20"/>
          <w:szCs w:val="20"/>
          <w:lang w:val="es-ES_tradnl" w:eastAsia="es-ES"/>
        </w:rPr>
        <w:t>l</w:t>
      </w:r>
      <w:r w:rsidR="00394FC3">
        <w:rPr>
          <w:rFonts w:asciiTheme="majorHAnsi" w:hAnsiTheme="majorHAnsi" w:cs="Arial"/>
          <w:sz w:val="20"/>
          <w:szCs w:val="20"/>
          <w:lang w:val="es-ES_tradnl" w:eastAsia="es-ES"/>
        </w:rPr>
        <w:t>a presunta víctima--</w:t>
      </w:r>
      <w:r w:rsidR="00E23A40" w:rsidRPr="00394FC3">
        <w:rPr>
          <w:rFonts w:asciiTheme="majorHAnsi" w:hAnsiTheme="majorHAnsi" w:cs="Arial"/>
          <w:sz w:val="20"/>
          <w:szCs w:val="20"/>
          <w:lang w:val="es-ES_tradnl" w:eastAsia="es-ES"/>
        </w:rPr>
        <w:t xml:space="preserve"> </w:t>
      </w:r>
      <w:r w:rsidR="000D1333" w:rsidRPr="00394FC3">
        <w:rPr>
          <w:rFonts w:asciiTheme="majorHAnsi" w:hAnsiTheme="majorHAnsi" w:cs="Arial"/>
          <w:sz w:val="20"/>
          <w:szCs w:val="20"/>
          <w:lang w:val="es-ES_tradnl" w:eastAsia="es-ES"/>
        </w:rPr>
        <w:t xml:space="preserve">el Congreso Nacional aprobó el acuerdo que contiene el </w:t>
      </w:r>
      <w:r w:rsidR="00E23A40" w:rsidRPr="00394FC3">
        <w:rPr>
          <w:rFonts w:asciiTheme="majorHAnsi" w:hAnsiTheme="majorHAnsi" w:cs="Arial"/>
          <w:sz w:val="20"/>
          <w:szCs w:val="20"/>
          <w:lang w:val="es-ES_tradnl" w:eastAsia="es-ES"/>
        </w:rPr>
        <w:t>c</w:t>
      </w:r>
      <w:r w:rsidR="000D1333" w:rsidRPr="00394FC3">
        <w:rPr>
          <w:rFonts w:asciiTheme="majorHAnsi" w:hAnsiTheme="majorHAnsi" w:cs="Arial"/>
          <w:sz w:val="20"/>
          <w:szCs w:val="20"/>
          <w:lang w:val="es-ES_tradnl" w:eastAsia="es-ES"/>
        </w:rPr>
        <w:t xml:space="preserve">onvenio </w:t>
      </w:r>
      <w:r w:rsidR="00E23A40" w:rsidRPr="00394FC3">
        <w:rPr>
          <w:rFonts w:asciiTheme="majorHAnsi" w:hAnsiTheme="majorHAnsi" w:cs="Arial"/>
          <w:sz w:val="20"/>
          <w:szCs w:val="20"/>
          <w:lang w:val="es-ES_tradnl" w:eastAsia="es-ES"/>
        </w:rPr>
        <w:t>s</w:t>
      </w:r>
      <w:r w:rsidR="000D1333" w:rsidRPr="00394FC3">
        <w:rPr>
          <w:rFonts w:asciiTheme="majorHAnsi" w:hAnsiTheme="majorHAnsi" w:cs="Arial"/>
          <w:sz w:val="20"/>
          <w:szCs w:val="20"/>
          <w:lang w:val="es-ES_tradnl" w:eastAsia="es-ES"/>
        </w:rPr>
        <w:t xml:space="preserve">ede entre Honduras y COCESNA, </w:t>
      </w:r>
      <w:r w:rsidR="00394FC3">
        <w:rPr>
          <w:rFonts w:asciiTheme="majorHAnsi" w:hAnsiTheme="majorHAnsi" w:cs="Arial"/>
          <w:sz w:val="20"/>
          <w:szCs w:val="20"/>
          <w:lang w:val="es-ES_tradnl" w:eastAsia="es-ES"/>
        </w:rPr>
        <w:t>cuyo</w:t>
      </w:r>
      <w:r w:rsidR="000D1333" w:rsidRPr="00394FC3">
        <w:rPr>
          <w:rFonts w:asciiTheme="majorHAnsi" w:hAnsiTheme="majorHAnsi" w:cs="Arial"/>
          <w:sz w:val="20"/>
          <w:szCs w:val="20"/>
          <w:lang w:val="es-ES_tradnl" w:eastAsia="es-ES"/>
        </w:rPr>
        <w:t xml:space="preserve"> artículo 4 otorgó al organismo inmunidad de toda jurisdicción. Señala que</w:t>
      </w:r>
      <w:r w:rsidR="00BF4837">
        <w:rPr>
          <w:rFonts w:asciiTheme="majorHAnsi" w:hAnsiTheme="majorHAnsi" w:cs="Arial"/>
          <w:sz w:val="20"/>
          <w:szCs w:val="20"/>
          <w:lang w:val="es-ES_tradnl" w:eastAsia="es-ES"/>
        </w:rPr>
        <w:t>,</w:t>
      </w:r>
      <w:r w:rsidR="00394FC3">
        <w:rPr>
          <w:rFonts w:asciiTheme="majorHAnsi" w:hAnsiTheme="majorHAnsi" w:cs="Arial"/>
          <w:sz w:val="20"/>
          <w:szCs w:val="20"/>
          <w:lang w:val="es-ES_tradnl" w:eastAsia="es-ES"/>
        </w:rPr>
        <w:t xml:space="preserve"> con</w:t>
      </w:r>
      <w:r w:rsidR="000D1333" w:rsidRPr="00394FC3">
        <w:rPr>
          <w:rFonts w:asciiTheme="majorHAnsi" w:hAnsiTheme="majorHAnsi" w:cs="Arial"/>
          <w:sz w:val="20"/>
          <w:szCs w:val="20"/>
          <w:lang w:val="es-ES_tradnl" w:eastAsia="es-ES"/>
        </w:rPr>
        <w:t xml:space="preserve"> base </w:t>
      </w:r>
      <w:r w:rsidR="00394FC3">
        <w:rPr>
          <w:rFonts w:asciiTheme="majorHAnsi" w:hAnsiTheme="majorHAnsi" w:cs="Arial"/>
          <w:sz w:val="20"/>
          <w:szCs w:val="20"/>
          <w:lang w:val="es-ES_tradnl" w:eastAsia="es-ES"/>
        </w:rPr>
        <w:t>en dicho</w:t>
      </w:r>
      <w:r w:rsidR="000D1333" w:rsidRPr="00394FC3">
        <w:rPr>
          <w:rFonts w:asciiTheme="majorHAnsi" w:hAnsiTheme="majorHAnsi" w:cs="Arial"/>
          <w:sz w:val="20"/>
          <w:szCs w:val="20"/>
          <w:lang w:val="es-ES_tradnl" w:eastAsia="es-ES"/>
        </w:rPr>
        <w:t xml:space="preserve"> convenio</w:t>
      </w:r>
      <w:r w:rsidR="00BF4837">
        <w:rPr>
          <w:rFonts w:asciiTheme="majorHAnsi" w:hAnsiTheme="majorHAnsi" w:cs="Arial"/>
          <w:sz w:val="20"/>
          <w:szCs w:val="20"/>
          <w:lang w:val="es-ES_tradnl" w:eastAsia="es-ES"/>
        </w:rPr>
        <w:t>,</w:t>
      </w:r>
      <w:r w:rsidR="000D1333" w:rsidRPr="00394FC3">
        <w:rPr>
          <w:rFonts w:asciiTheme="majorHAnsi" w:hAnsiTheme="majorHAnsi" w:cs="Arial"/>
          <w:sz w:val="20"/>
          <w:szCs w:val="20"/>
          <w:lang w:val="es-ES_tradnl" w:eastAsia="es-ES"/>
        </w:rPr>
        <w:t xml:space="preserve"> los tribunales de Honduras carecen de competencia para conocer demandas contra COCESNA. Considera </w:t>
      </w:r>
      <w:r w:rsidR="00BF4837" w:rsidRPr="00394FC3">
        <w:rPr>
          <w:rFonts w:asciiTheme="majorHAnsi" w:hAnsiTheme="majorHAnsi" w:cs="Arial"/>
          <w:sz w:val="20"/>
          <w:szCs w:val="20"/>
          <w:lang w:val="es-ES_tradnl" w:eastAsia="es-ES"/>
        </w:rPr>
        <w:t>que,</w:t>
      </w:r>
      <w:r w:rsidR="000D1333" w:rsidRPr="00394FC3">
        <w:rPr>
          <w:rFonts w:asciiTheme="majorHAnsi" w:hAnsiTheme="majorHAnsi" w:cs="Arial"/>
          <w:sz w:val="20"/>
          <w:szCs w:val="20"/>
          <w:lang w:val="es-ES_tradnl" w:eastAsia="es-ES"/>
        </w:rPr>
        <w:t xml:space="preserve"> si los tribunales hondureños conocieran </w:t>
      </w:r>
      <w:r w:rsidR="00BF4837">
        <w:rPr>
          <w:rFonts w:asciiTheme="majorHAnsi" w:hAnsiTheme="majorHAnsi" w:cs="Arial"/>
          <w:sz w:val="20"/>
          <w:szCs w:val="20"/>
          <w:lang w:val="es-ES_tradnl" w:eastAsia="es-ES"/>
        </w:rPr>
        <w:t xml:space="preserve">de </w:t>
      </w:r>
      <w:r w:rsidR="000D1333" w:rsidRPr="00394FC3">
        <w:rPr>
          <w:rFonts w:asciiTheme="majorHAnsi" w:hAnsiTheme="majorHAnsi" w:cs="Arial"/>
          <w:sz w:val="20"/>
          <w:szCs w:val="20"/>
          <w:lang w:val="es-ES_tradnl" w:eastAsia="es-ES"/>
        </w:rPr>
        <w:t xml:space="preserve">una demanda como la interpuesta por la presunta víctima, pese a no tener competencia para ello, incurrirían en una violación del derecho al juez competente previsto en el artículo 8.1 de la Convención Americana. </w:t>
      </w:r>
      <w:r w:rsidR="00DF4939" w:rsidRPr="00394FC3">
        <w:rPr>
          <w:rFonts w:asciiTheme="majorHAnsi" w:hAnsiTheme="majorHAnsi" w:cs="Arial"/>
          <w:sz w:val="20"/>
          <w:szCs w:val="20"/>
          <w:lang w:val="es-ES_tradnl" w:eastAsia="es-ES"/>
        </w:rPr>
        <w:t xml:space="preserve"> Resalta que la Corte Centroamericana manifestó </w:t>
      </w:r>
      <w:r w:rsidR="00BF4837" w:rsidRPr="00394FC3">
        <w:rPr>
          <w:rFonts w:asciiTheme="majorHAnsi" w:hAnsiTheme="majorHAnsi" w:cs="Arial"/>
          <w:sz w:val="20"/>
          <w:szCs w:val="20"/>
          <w:lang w:val="es-ES_tradnl" w:eastAsia="es-ES"/>
        </w:rPr>
        <w:t xml:space="preserve">en su opinión consultiva 2-24-03-2017 </w:t>
      </w:r>
      <w:r w:rsidR="00DF4939" w:rsidRPr="00394FC3">
        <w:rPr>
          <w:rFonts w:asciiTheme="majorHAnsi" w:hAnsiTheme="majorHAnsi" w:cs="Arial"/>
          <w:sz w:val="20"/>
          <w:szCs w:val="20"/>
          <w:lang w:val="es-ES_tradnl" w:eastAsia="es-ES"/>
        </w:rPr>
        <w:t>que COCESNA</w:t>
      </w:r>
      <w:r w:rsidR="00DF4939" w:rsidRPr="00BF4837">
        <w:rPr>
          <w:rFonts w:asciiTheme="majorHAnsi" w:hAnsiTheme="majorHAnsi" w:cs="Arial"/>
          <w:sz w:val="20"/>
          <w:szCs w:val="20"/>
          <w:lang w:val="es-ES_tradnl" w:eastAsia="es-ES"/>
        </w:rPr>
        <w:t xml:space="preserve"> “goza de inmunidad de </w:t>
      </w:r>
      <w:r w:rsidR="00DF4939" w:rsidRPr="00BF4837">
        <w:rPr>
          <w:rFonts w:asciiTheme="majorHAnsi" w:hAnsiTheme="majorHAnsi" w:cs="Arial"/>
          <w:sz w:val="20"/>
          <w:szCs w:val="20"/>
          <w:lang w:val="es-ES_tradnl" w:eastAsia="es-ES"/>
        </w:rPr>
        <w:lastRenderedPageBreak/>
        <w:t>jurisdicción</w:t>
      </w:r>
      <w:r w:rsidR="00BF4837">
        <w:rPr>
          <w:rFonts w:asciiTheme="majorHAnsi" w:hAnsiTheme="majorHAnsi" w:cs="Arial"/>
          <w:sz w:val="20"/>
          <w:szCs w:val="20"/>
          <w:lang w:val="es-ES_tradnl" w:eastAsia="es-ES"/>
        </w:rPr>
        <w:t>,</w:t>
      </w:r>
      <w:r w:rsidR="00DF4939" w:rsidRPr="00BF4837">
        <w:rPr>
          <w:rFonts w:asciiTheme="majorHAnsi" w:hAnsiTheme="majorHAnsi" w:cs="Arial"/>
          <w:sz w:val="20"/>
          <w:szCs w:val="20"/>
          <w:lang w:val="es-ES_tradnl" w:eastAsia="es-ES"/>
        </w:rPr>
        <w:t xml:space="preserve"> lo que implica que no está sujeta a la jurisdicción nacional, por lo que toda controversia que se suscite en la interpretación o aplicación de sus instrumentos jurídicos de funcionamiento y de los que de ellos derivan, a manera de ejemplo, los contratos laborales, no pueden ser conocidos por las instancias nacionales de cada Estado parte”.</w:t>
      </w:r>
    </w:p>
    <w:p w14:paraId="6C23EBC0" w14:textId="56E27FFF" w:rsidR="00DF4939" w:rsidRPr="00506D99" w:rsidRDefault="00DF4939" w:rsidP="00E20A73">
      <w:pPr>
        <w:pStyle w:val="Default"/>
        <w:spacing w:after="0" w:line="240" w:lineRule="auto"/>
        <w:jc w:val="both"/>
        <w:rPr>
          <w:rFonts w:asciiTheme="majorHAnsi" w:hAnsiTheme="majorHAnsi" w:cs="Arial"/>
          <w:sz w:val="20"/>
          <w:szCs w:val="20"/>
          <w:lang w:val="es-ES_tradnl" w:eastAsia="es-ES"/>
        </w:rPr>
      </w:pPr>
    </w:p>
    <w:p w14:paraId="25BBEE53" w14:textId="1851C20F" w:rsidR="00F234D7" w:rsidRPr="00506D99" w:rsidRDefault="00B27BE0" w:rsidP="00E20A73">
      <w:pPr>
        <w:pStyle w:val="Default"/>
        <w:numPr>
          <w:ilvl w:val="0"/>
          <w:numId w:val="55"/>
        </w:numPr>
        <w:spacing w:after="0" w:line="240" w:lineRule="auto"/>
        <w:jc w:val="both"/>
        <w:rPr>
          <w:rFonts w:asciiTheme="majorHAnsi" w:hAnsiTheme="majorHAnsi" w:cs="Arial"/>
          <w:sz w:val="20"/>
          <w:szCs w:val="20"/>
          <w:lang w:val="es-ES_tradnl" w:eastAsia="es-ES"/>
        </w:rPr>
      </w:pPr>
      <w:r>
        <w:rPr>
          <w:rFonts w:asciiTheme="majorHAnsi" w:hAnsiTheme="majorHAnsi" w:cs="Arial"/>
          <w:sz w:val="20"/>
          <w:szCs w:val="20"/>
          <w:lang w:val="es-ES_tradnl" w:eastAsia="es-ES"/>
        </w:rPr>
        <w:t>A</w:t>
      </w:r>
      <w:r w:rsidR="00DF4939" w:rsidRPr="00506D99">
        <w:rPr>
          <w:rFonts w:asciiTheme="majorHAnsi" w:hAnsiTheme="majorHAnsi" w:cs="Arial"/>
          <w:sz w:val="20"/>
          <w:szCs w:val="20"/>
          <w:lang w:val="es-ES_tradnl" w:eastAsia="es-ES"/>
        </w:rPr>
        <w:t xml:space="preserve"> juicio del Estado, </w:t>
      </w:r>
      <w:r>
        <w:rPr>
          <w:rFonts w:asciiTheme="majorHAnsi" w:hAnsiTheme="majorHAnsi" w:cs="Arial"/>
          <w:sz w:val="20"/>
          <w:szCs w:val="20"/>
          <w:lang w:val="es-ES_tradnl" w:eastAsia="es-ES"/>
        </w:rPr>
        <w:t>l</w:t>
      </w:r>
      <w:r w:rsidRPr="00506D99">
        <w:rPr>
          <w:rFonts w:asciiTheme="majorHAnsi" w:hAnsiTheme="majorHAnsi" w:cs="Arial"/>
          <w:sz w:val="20"/>
          <w:szCs w:val="20"/>
          <w:lang w:val="es-ES_tradnl" w:eastAsia="es-ES"/>
        </w:rPr>
        <w:t xml:space="preserve">o anterior </w:t>
      </w:r>
      <w:r w:rsidR="000D1333" w:rsidRPr="00506D99">
        <w:rPr>
          <w:rFonts w:asciiTheme="majorHAnsi" w:hAnsiTheme="majorHAnsi" w:cs="Arial"/>
          <w:sz w:val="20"/>
          <w:szCs w:val="20"/>
          <w:lang w:val="es-ES_tradnl" w:eastAsia="es-ES"/>
        </w:rPr>
        <w:t xml:space="preserve">no implica que no </w:t>
      </w:r>
      <w:r>
        <w:rPr>
          <w:rFonts w:asciiTheme="majorHAnsi" w:hAnsiTheme="majorHAnsi" w:cs="Arial"/>
          <w:sz w:val="20"/>
          <w:szCs w:val="20"/>
          <w:lang w:val="es-ES_tradnl" w:eastAsia="es-ES"/>
        </w:rPr>
        <w:t xml:space="preserve">haya </w:t>
      </w:r>
      <w:r w:rsidR="000D1333" w:rsidRPr="00506D99">
        <w:rPr>
          <w:rFonts w:asciiTheme="majorHAnsi" w:hAnsiTheme="majorHAnsi" w:cs="Arial"/>
          <w:sz w:val="20"/>
          <w:szCs w:val="20"/>
          <w:lang w:val="es-ES_tradnl" w:eastAsia="es-ES"/>
        </w:rPr>
        <w:t xml:space="preserve">mecanismos para controlar posibles violaciones </w:t>
      </w:r>
      <w:r>
        <w:rPr>
          <w:rFonts w:asciiTheme="majorHAnsi" w:hAnsiTheme="majorHAnsi" w:cs="Arial"/>
          <w:sz w:val="20"/>
          <w:szCs w:val="20"/>
          <w:lang w:val="es-ES_tradnl" w:eastAsia="es-ES"/>
        </w:rPr>
        <w:t>de</w:t>
      </w:r>
      <w:r w:rsidR="000D1333" w:rsidRPr="00506D99">
        <w:rPr>
          <w:rFonts w:asciiTheme="majorHAnsi" w:hAnsiTheme="majorHAnsi" w:cs="Arial"/>
          <w:sz w:val="20"/>
          <w:szCs w:val="20"/>
          <w:lang w:val="es-ES_tradnl" w:eastAsia="es-ES"/>
        </w:rPr>
        <w:t xml:space="preserve"> derechos laborales </w:t>
      </w:r>
      <w:r>
        <w:rPr>
          <w:rFonts w:asciiTheme="majorHAnsi" w:hAnsiTheme="majorHAnsi" w:cs="Arial"/>
          <w:sz w:val="20"/>
          <w:szCs w:val="20"/>
          <w:lang w:val="es-ES_tradnl" w:eastAsia="es-ES"/>
        </w:rPr>
        <w:t>de</w:t>
      </w:r>
      <w:r w:rsidR="000D1333" w:rsidRPr="00506D99">
        <w:rPr>
          <w:rFonts w:asciiTheme="majorHAnsi" w:hAnsiTheme="majorHAnsi" w:cs="Arial"/>
          <w:sz w:val="20"/>
          <w:szCs w:val="20"/>
          <w:lang w:val="es-ES_tradnl" w:eastAsia="es-ES"/>
        </w:rPr>
        <w:t xml:space="preserve"> COCESNA</w:t>
      </w:r>
      <w:r w:rsidR="005D276B" w:rsidRPr="00506D99">
        <w:rPr>
          <w:rFonts w:asciiTheme="majorHAnsi" w:hAnsiTheme="majorHAnsi" w:cs="Arial"/>
          <w:sz w:val="20"/>
          <w:szCs w:val="20"/>
          <w:lang w:val="es-ES_tradnl" w:eastAsia="es-ES"/>
        </w:rPr>
        <w:t>,</w:t>
      </w:r>
      <w:r w:rsidR="000D1333" w:rsidRPr="00506D99">
        <w:rPr>
          <w:rFonts w:asciiTheme="majorHAnsi" w:hAnsiTheme="majorHAnsi" w:cs="Arial"/>
          <w:sz w:val="20"/>
          <w:szCs w:val="20"/>
          <w:lang w:val="es-ES_tradnl" w:eastAsia="es-ES"/>
        </w:rPr>
        <w:t xml:space="preserve"> </w:t>
      </w:r>
      <w:r>
        <w:rPr>
          <w:rFonts w:asciiTheme="majorHAnsi" w:hAnsiTheme="majorHAnsi" w:cs="Arial"/>
          <w:sz w:val="20"/>
          <w:szCs w:val="20"/>
          <w:lang w:val="es-ES_tradnl" w:eastAsia="es-ES"/>
        </w:rPr>
        <w:t>ni</w:t>
      </w:r>
      <w:r w:rsidR="000D1333" w:rsidRPr="00506D99">
        <w:rPr>
          <w:rFonts w:asciiTheme="majorHAnsi" w:hAnsiTheme="majorHAnsi" w:cs="Arial"/>
          <w:sz w:val="20"/>
          <w:szCs w:val="20"/>
          <w:lang w:val="es-ES_tradnl" w:eastAsia="es-ES"/>
        </w:rPr>
        <w:t xml:space="preserve"> que quienes </w:t>
      </w:r>
      <w:r>
        <w:rPr>
          <w:rFonts w:asciiTheme="majorHAnsi" w:hAnsiTheme="majorHAnsi" w:cs="Arial"/>
          <w:sz w:val="20"/>
          <w:szCs w:val="20"/>
          <w:lang w:val="es-ES_tradnl" w:eastAsia="es-ES"/>
        </w:rPr>
        <w:t xml:space="preserve">allí trabajan </w:t>
      </w:r>
      <w:r w:rsidR="000D1333" w:rsidRPr="00506D99">
        <w:rPr>
          <w:rFonts w:asciiTheme="majorHAnsi" w:hAnsiTheme="majorHAnsi" w:cs="Arial"/>
          <w:sz w:val="20"/>
          <w:szCs w:val="20"/>
          <w:lang w:val="es-ES_tradnl" w:eastAsia="es-ES"/>
        </w:rPr>
        <w:t xml:space="preserve">no </w:t>
      </w:r>
      <w:r w:rsidR="00850886" w:rsidRPr="00506D99">
        <w:rPr>
          <w:rFonts w:asciiTheme="majorHAnsi" w:hAnsiTheme="majorHAnsi" w:cs="Arial"/>
          <w:sz w:val="20"/>
          <w:szCs w:val="20"/>
          <w:lang w:val="es-ES_tradnl" w:eastAsia="es-ES"/>
        </w:rPr>
        <w:t xml:space="preserve">cuenten con protección jurídica. Destaca que los reclamos laborales contra COCESNA pueden </w:t>
      </w:r>
      <w:r>
        <w:rPr>
          <w:rFonts w:asciiTheme="majorHAnsi" w:hAnsiTheme="majorHAnsi" w:cs="Arial"/>
          <w:sz w:val="20"/>
          <w:szCs w:val="20"/>
          <w:lang w:val="es-ES_tradnl" w:eastAsia="es-ES"/>
        </w:rPr>
        <w:t xml:space="preserve">ser </w:t>
      </w:r>
      <w:r w:rsidR="00850886" w:rsidRPr="00506D99">
        <w:rPr>
          <w:rFonts w:asciiTheme="majorHAnsi" w:hAnsiTheme="majorHAnsi" w:cs="Arial"/>
          <w:sz w:val="20"/>
          <w:szCs w:val="20"/>
          <w:lang w:val="es-ES_tradnl" w:eastAsia="es-ES"/>
        </w:rPr>
        <w:t>trasladados por la Secretaría de Trabajo y Seguridad Social</w:t>
      </w:r>
      <w:r w:rsidR="005D276B" w:rsidRPr="00506D99">
        <w:rPr>
          <w:rFonts w:asciiTheme="majorHAnsi" w:hAnsiTheme="majorHAnsi" w:cs="Arial"/>
          <w:sz w:val="20"/>
          <w:szCs w:val="20"/>
          <w:lang w:val="es-ES_tradnl" w:eastAsia="es-ES"/>
        </w:rPr>
        <w:t>,</w:t>
      </w:r>
      <w:r w:rsidR="00850886" w:rsidRPr="00506D99">
        <w:rPr>
          <w:rFonts w:asciiTheme="majorHAnsi" w:hAnsiTheme="majorHAnsi" w:cs="Arial"/>
          <w:sz w:val="20"/>
          <w:szCs w:val="20"/>
          <w:lang w:val="es-ES_tradnl" w:eastAsia="es-ES"/>
        </w:rPr>
        <w:t xml:space="preserve"> por intermedio de la Secretaría de Relaciones Exteriores</w:t>
      </w:r>
      <w:r w:rsidR="005D276B" w:rsidRPr="00506D99">
        <w:rPr>
          <w:rFonts w:asciiTheme="majorHAnsi" w:hAnsiTheme="majorHAnsi" w:cs="Arial"/>
          <w:sz w:val="20"/>
          <w:szCs w:val="20"/>
          <w:lang w:val="es-ES_tradnl" w:eastAsia="es-ES"/>
        </w:rPr>
        <w:t>,</w:t>
      </w:r>
      <w:r w:rsidR="00850886" w:rsidRPr="00506D99">
        <w:rPr>
          <w:rFonts w:asciiTheme="majorHAnsi" w:hAnsiTheme="majorHAnsi" w:cs="Arial"/>
          <w:sz w:val="20"/>
          <w:szCs w:val="20"/>
          <w:lang w:val="es-ES_tradnl" w:eastAsia="es-ES"/>
        </w:rPr>
        <w:t xml:space="preserve"> a fin de que sean contestados por la vía diplomática</w:t>
      </w:r>
      <w:r w:rsidR="00825C4C">
        <w:rPr>
          <w:rFonts w:asciiTheme="majorHAnsi" w:hAnsiTheme="majorHAnsi" w:cs="Arial"/>
          <w:sz w:val="20"/>
          <w:szCs w:val="20"/>
          <w:lang w:val="es-ES_tradnl" w:eastAsia="es-ES"/>
        </w:rPr>
        <w:t>.</w:t>
      </w:r>
      <w:r w:rsidR="00850886" w:rsidRPr="00506D99">
        <w:rPr>
          <w:rFonts w:asciiTheme="majorHAnsi" w:hAnsiTheme="majorHAnsi" w:cs="Arial"/>
          <w:sz w:val="20"/>
          <w:szCs w:val="20"/>
          <w:lang w:val="es-ES_tradnl" w:eastAsia="es-ES"/>
        </w:rPr>
        <w:t xml:space="preserve"> </w:t>
      </w:r>
      <w:r w:rsidR="00825C4C">
        <w:rPr>
          <w:rFonts w:asciiTheme="majorHAnsi" w:hAnsiTheme="majorHAnsi" w:cs="Arial"/>
          <w:sz w:val="20"/>
          <w:szCs w:val="20"/>
          <w:lang w:val="es-ES_tradnl" w:eastAsia="es-ES"/>
        </w:rPr>
        <w:t xml:space="preserve">En su opinión, lo anterior </w:t>
      </w:r>
      <w:r w:rsidR="00850886" w:rsidRPr="00506D99">
        <w:rPr>
          <w:rFonts w:asciiTheme="majorHAnsi" w:hAnsiTheme="majorHAnsi" w:cs="Arial"/>
          <w:sz w:val="20"/>
          <w:szCs w:val="20"/>
          <w:lang w:val="es-ES_tradnl" w:eastAsia="es-ES"/>
        </w:rPr>
        <w:t>fue reconocido en la sentencia que concedió</w:t>
      </w:r>
      <w:r w:rsidR="005D276B" w:rsidRPr="00506D99">
        <w:rPr>
          <w:rFonts w:asciiTheme="majorHAnsi" w:hAnsiTheme="majorHAnsi" w:cs="Arial"/>
          <w:sz w:val="20"/>
          <w:szCs w:val="20"/>
          <w:lang w:val="es-ES_tradnl" w:eastAsia="es-ES"/>
        </w:rPr>
        <w:t xml:space="preserve"> el</w:t>
      </w:r>
      <w:r w:rsidR="00850886" w:rsidRPr="00506D99">
        <w:rPr>
          <w:rFonts w:asciiTheme="majorHAnsi" w:hAnsiTheme="majorHAnsi" w:cs="Arial"/>
          <w:sz w:val="20"/>
          <w:szCs w:val="20"/>
          <w:lang w:val="es-ES_tradnl" w:eastAsia="es-ES"/>
        </w:rPr>
        <w:t xml:space="preserve"> amparo a COCESNA en el expediente relacionado </w:t>
      </w:r>
      <w:r w:rsidR="00850886" w:rsidRPr="00825C4C">
        <w:rPr>
          <w:rFonts w:asciiTheme="majorHAnsi" w:hAnsiTheme="majorHAnsi" w:cs="Arial"/>
          <w:sz w:val="20"/>
          <w:szCs w:val="20"/>
          <w:lang w:val="es-ES_tradnl" w:eastAsia="es-ES"/>
        </w:rPr>
        <w:t>con la demanda de la presunta víctima.</w:t>
      </w:r>
      <w:r w:rsidR="00DF4939" w:rsidRPr="00825C4C">
        <w:rPr>
          <w:rFonts w:asciiTheme="majorHAnsi" w:hAnsiTheme="majorHAnsi" w:cs="Arial"/>
          <w:sz w:val="20"/>
          <w:szCs w:val="20"/>
          <w:lang w:val="es-ES_tradnl" w:eastAsia="es-ES"/>
        </w:rPr>
        <w:t xml:space="preserve"> </w:t>
      </w:r>
      <w:r w:rsidR="00AC1D45" w:rsidRPr="00825C4C">
        <w:rPr>
          <w:rFonts w:asciiTheme="majorHAnsi" w:hAnsiTheme="majorHAnsi" w:cs="Arial"/>
          <w:sz w:val="20"/>
          <w:szCs w:val="20"/>
          <w:lang w:val="es-ES_tradnl" w:eastAsia="es-ES"/>
        </w:rPr>
        <w:t>También resalta</w:t>
      </w:r>
      <w:r w:rsidR="00DF4939" w:rsidRPr="00825C4C">
        <w:rPr>
          <w:rFonts w:asciiTheme="majorHAnsi" w:hAnsiTheme="majorHAnsi" w:cs="Arial"/>
          <w:sz w:val="20"/>
          <w:szCs w:val="20"/>
          <w:lang w:val="es-ES_tradnl" w:eastAsia="es-ES"/>
        </w:rPr>
        <w:t xml:space="preserve"> que el artículo 22.J del Estatuto de la Corte Centroamericana de Justicia establece que esta es competente para “</w:t>
      </w:r>
      <w:r w:rsidR="00825C4C" w:rsidRPr="00825C4C">
        <w:rPr>
          <w:rFonts w:asciiTheme="majorHAnsi" w:hAnsiTheme="majorHAnsi" w:cs="Arial"/>
          <w:sz w:val="20"/>
          <w:szCs w:val="20"/>
          <w:lang w:val="es-ES_tradnl" w:eastAsia="es-ES"/>
        </w:rPr>
        <w:t>c</w:t>
      </w:r>
      <w:r w:rsidR="00DF4939" w:rsidRPr="00825C4C">
        <w:rPr>
          <w:rFonts w:asciiTheme="majorHAnsi" w:hAnsiTheme="majorHAnsi" w:cs="Arial"/>
          <w:sz w:val="20"/>
          <w:szCs w:val="20"/>
          <w:lang w:val="es-ES_tradnl" w:eastAsia="es-ES"/>
        </w:rPr>
        <w:t xml:space="preserve">onocer en última instancia, en apelación, de las resoluciones administrativas, dictadas por los Órganos u Organismos del Sistema de Integración Centroamericana, que afecten directamente a un miembro del personal del mismo y cuya reposición </w:t>
      </w:r>
      <w:r w:rsidR="00AC1D45" w:rsidRPr="00825C4C">
        <w:rPr>
          <w:rFonts w:asciiTheme="majorHAnsi" w:hAnsiTheme="majorHAnsi" w:cs="Arial"/>
          <w:sz w:val="20"/>
          <w:szCs w:val="20"/>
          <w:lang w:val="es-ES_tradnl" w:eastAsia="es-ES"/>
        </w:rPr>
        <w:t>haya sido denegada”.</w:t>
      </w:r>
      <w:r w:rsidR="00AC1D45" w:rsidRPr="00506D99">
        <w:rPr>
          <w:rFonts w:asciiTheme="majorHAnsi" w:hAnsiTheme="majorHAnsi" w:cs="Arial"/>
          <w:sz w:val="20"/>
          <w:szCs w:val="20"/>
          <w:lang w:val="es-ES_tradnl" w:eastAsia="es-ES"/>
        </w:rPr>
        <w:t xml:space="preserve"> </w:t>
      </w:r>
    </w:p>
    <w:p w14:paraId="026573DF" w14:textId="77777777" w:rsidR="00F234D7" w:rsidRPr="00506D99" w:rsidRDefault="00F234D7" w:rsidP="00E20A73">
      <w:pPr>
        <w:pStyle w:val="Default"/>
        <w:spacing w:after="0" w:line="240" w:lineRule="auto"/>
        <w:jc w:val="both"/>
        <w:rPr>
          <w:rFonts w:asciiTheme="majorHAnsi" w:hAnsiTheme="majorHAnsi" w:cs="Arial"/>
          <w:sz w:val="20"/>
          <w:szCs w:val="20"/>
          <w:lang w:val="es-ES_tradnl" w:eastAsia="es-ES"/>
        </w:rPr>
      </w:pPr>
    </w:p>
    <w:p w14:paraId="2A5820EE" w14:textId="7DB39EAF" w:rsidR="00C2532D" w:rsidRPr="00506D99" w:rsidRDefault="00825C4C" w:rsidP="00E20A73">
      <w:pPr>
        <w:pStyle w:val="Default"/>
        <w:numPr>
          <w:ilvl w:val="0"/>
          <w:numId w:val="55"/>
        </w:numPr>
        <w:spacing w:after="0" w:line="240" w:lineRule="auto"/>
        <w:jc w:val="both"/>
        <w:rPr>
          <w:rFonts w:asciiTheme="majorHAnsi" w:hAnsiTheme="majorHAnsi" w:cs="Arial"/>
          <w:sz w:val="20"/>
          <w:szCs w:val="20"/>
          <w:lang w:val="es-ES_tradnl" w:eastAsia="es-ES"/>
        </w:rPr>
      </w:pPr>
      <w:r>
        <w:rPr>
          <w:rFonts w:asciiTheme="majorHAnsi" w:hAnsiTheme="majorHAnsi" w:cs="Arial"/>
          <w:sz w:val="20"/>
          <w:szCs w:val="20"/>
          <w:lang w:val="es-ES_tradnl" w:eastAsia="es-ES"/>
        </w:rPr>
        <w:t>A</w:t>
      </w:r>
      <w:r w:rsidR="00A73A9A" w:rsidRPr="00506D99">
        <w:rPr>
          <w:rFonts w:asciiTheme="majorHAnsi" w:hAnsiTheme="majorHAnsi" w:cs="Arial"/>
          <w:sz w:val="20"/>
          <w:szCs w:val="20"/>
          <w:lang w:val="es-ES_tradnl" w:eastAsia="es-ES"/>
        </w:rPr>
        <w:t>firma</w:t>
      </w:r>
      <w:r w:rsidR="00AC1D45" w:rsidRPr="00506D99">
        <w:rPr>
          <w:rFonts w:asciiTheme="majorHAnsi" w:hAnsiTheme="majorHAnsi" w:cs="Arial"/>
          <w:sz w:val="20"/>
          <w:szCs w:val="20"/>
          <w:lang w:val="es-ES_tradnl" w:eastAsia="es-ES"/>
        </w:rPr>
        <w:t xml:space="preserve"> que la Corte Centroamericana </w:t>
      </w:r>
      <w:r>
        <w:rPr>
          <w:rFonts w:asciiTheme="majorHAnsi" w:hAnsiTheme="majorHAnsi" w:cs="Arial"/>
          <w:sz w:val="20"/>
          <w:szCs w:val="20"/>
          <w:lang w:val="es-ES_tradnl" w:eastAsia="es-ES"/>
        </w:rPr>
        <w:t>e</w:t>
      </w:r>
      <w:r w:rsidR="00AC1D45" w:rsidRPr="00506D99">
        <w:rPr>
          <w:rFonts w:asciiTheme="majorHAnsi" w:hAnsiTheme="majorHAnsi" w:cs="Arial"/>
          <w:sz w:val="20"/>
          <w:szCs w:val="20"/>
          <w:lang w:val="es-ES_tradnl" w:eastAsia="es-ES"/>
        </w:rPr>
        <w:t>s el tribunal competente para conocer las controversias jurídicas suscitadas en torno a COCESNA</w:t>
      </w:r>
      <w:r>
        <w:rPr>
          <w:rFonts w:asciiTheme="majorHAnsi" w:hAnsiTheme="majorHAnsi" w:cs="Arial"/>
          <w:sz w:val="20"/>
          <w:szCs w:val="20"/>
          <w:lang w:val="es-ES_tradnl" w:eastAsia="es-ES"/>
        </w:rPr>
        <w:t xml:space="preserve">, y </w:t>
      </w:r>
      <w:r w:rsidR="00C2532D" w:rsidRPr="00506D99">
        <w:rPr>
          <w:rFonts w:asciiTheme="majorHAnsi" w:hAnsiTheme="majorHAnsi" w:cs="Arial"/>
          <w:sz w:val="20"/>
          <w:szCs w:val="20"/>
          <w:lang w:val="es-ES_tradnl" w:eastAsia="es-ES"/>
        </w:rPr>
        <w:t>que la presunta víctima ingres</w:t>
      </w:r>
      <w:r w:rsidR="00637C4F" w:rsidRPr="00506D99">
        <w:rPr>
          <w:rFonts w:asciiTheme="majorHAnsi" w:hAnsiTheme="majorHAnsi" w:cs="Arial"/>
          <w:sz w:val="20"/>
          <w:szCs w:val="20"/>
          <w:lang w:val="es-ES_tradnl" w:eastAsia="es-ES"/>
        </w:rPr>
        <w:t>ó</w:t>
      </w:r>
      <w:r w:rsidR="00C2532D" w:rsidRPr="00506D99">
        <w:rPr>
          <w:rFonts w:asciiTheme="majorHAnsi" w:hAnsiTheme="majorHAnsi" w:cs="Arial"/>
          <w:sz w:val="20"/>
          <w:szCs w:val="20"/>
          <w:lang w:val="es-ES_tradnl" w:eastAsia="es-ES"/>
        </w:rPr>
        <w:t xml:space="preserve"> a laborar en el organismo internacional con pleno conocimiento del régimen laboral especial que le </w:t>
      </w:r>
      <w:r w:rsidR="00637C4F" w:rsidRPr="00506D99">
        <w:rPr>
          <w:rFonts w:asciiTheme="majorHAnsi" w:hAnsiTheme="majorHAnsi" w:cs="Arial"/>
          <w:sz w:val="20"/>
          <w:szCs w:val="20"/>
          <w:lang w:val="es-ES_tradnl" w:eastAsia="es-ES"/>
        </w:rPr>
        <w:t>sería aplicable</w:t>
      </w:r>
      <w:r>
        <w:rPr>
          <w:rFonts w:asciiTheme="majorHAnsi" w:hAnsiTheme="majorHAnsi" w:cs="Arial"/>
          <w:sz w:val="20"/>
          <w:szCs w:val="20"/>
          <w:lang w:val="es-ES_tradnl" w:eastAsia="es-ES"/>
        </w:rPr>
        <w:t>.</w:t>
      </w:r>
      <w:r w:rsidR="003C1B7C" w:rsidRPr="00506D99">
        <w:rPr>
          <w:rFonts w:asciiTheme="majorHAnsi" w:hAnsiTheme="majorHAnsi" w:cs="Arial"/>
          <w:sz w:val="20"/>
          <w:szCs w:val="20"/>
          <w:lang w:val="es-ES_tradnl" w:eastAsia="es-ES"/>
        </w:rPr>
        <w:t xml:space="preserve"> </w:t>
      </w:r>
      <w:r>
        <w:rPr>
          <w:rFonts w:asciiTheme="majorHAnsi" w:hAnsiTheme="majorHAnsi" w:cs="Arial"/>
          <w:sz w:val="20"/>
          <w:szCs w:val="20"/>
          <w:lang w:val="es-ES_tradnl" w:eastAsia="es-ES"/>
        </w:rPr>
        <w:t xml:space="preserve">Alega asimismo </w:t>
      </w:r>
      <w:r w:rsidR="003C1B7C" w:rsidRPr="00506D99">
        <w:rPr>
          <w:rFonts w:asciiTheme="majorHAnsi" w:hAnsiTheme="majorHAnsi" w:cs="Arial"/>
          <w:sz w:val="20"/>
          <w:szCs w:val="20"/>
          <w:lang w:val="es-ES_tradnl" w:eastAsia="es-ES"/>
        </w:rPr>
        <w:t>que no se puede considerar violatorio de su derecho a la igualdad ante la ley que ese régimen</w:t>
      </w:r>
      <w:r>
        <w:rPr>
          <w:rFonts w:asciiTheme="majorHAnsi" w:hAnsiTheme="majorHAnsi" w:cs="Arial"/>
          <w:sz w:val="20"/>
          <w:szCs w:val="20"/>
          <w:lang w:val="es-ES_tradnl" w:eastAsia="es-ES"/>
        </w:rPr>
        <w:t xml:space="preserve"> le</w:t>
      </w:r>
      <w:r w:rsidR="003C1B7C" w:rsidRPr="00506D99">
        <w:rPr>
          <w:rFonts w:asciiTheme="majorHAnsi" w:hAnsiTheme="majorHAnsi" w:cs="Arial"/>
          <w:sz w:val="20"/>
          <w:szCs w:val="20"/>
          <w:lang w:val="es-ES_tradnl" w:eastAsia="es-ES"/>
        </w:rPr>
        <w:t xml:space="preserve"> impida el acceso a los tribunales nacionales</w:t>
      </w:r>
      <w:r>
        <w:rPr>
          <w:rFonts w:asciiTheme="majorHAnsi" w:hAnsiTheme="majorHAnsi" w:cs="Arial"/>
          <w:sz w:val="20"/>
          <w:szCs w:val="20"/>
          <w:lang w:val="es-ES_tradnl" w:eastAsia="es-ES"/>
        </w:rPr>
        <w:t>,</w:t>
      </w:r>
      <w:r w:rsidR="003C1B7C" w:rsidRPr="00506D99">
        <w:rPr>
          <w:rFonts w:asciiTheme="majorHAnsi" w:hAnsiTheme="majorHAnsi" w:cs="Arial"/>
          <w:sz w:val="20"/>
          <w:szCs w:val="20"/>
          <w:lang w:val="es-ES_tradnl" w:eastAsia="es-ES"/>
        </w:rPr>
        <w:t xml:space="preserve"> </w:t>
      </w:r>
      <w:r>
        <w:rPr>
          <w:rFonts w:asciiTheme="majorHAnsi" w:hAnsiTheme="majorHAnsi" w:cs="Arial"/>
          <w:sz w:val="20"/>
          <w:szCs w:val="20"/>
          <w:lang w:val="es-ES_tradnl" w:eastAsia="es-ES"/>
        </w:rPr>
        <w:t xml:space="preserve">ya que este </w:t>
      </w:r>
      <w:r w:rsidR="003C1B7C" w:rsidRPr="00506D99">
        <w:rPr>
          <w:rFonts w:asciiTheme="majorHAnsi" w:hAnsiTheme="majorHAnsi" w:cs="Arial"/>
          <w:sz w:val="20"/>
          <w:szCs w:val="20"/>
          <w:lang w:val="es-ES_tradnl" w:eastAsia="es-ES"/>
        </w:rPr>
        <w:t xml:space="preserve">mismo prevé </w:t>
      </w:r>
      <w:r w:rsidR="00637C4F" w:rsidRPr="00506D99">
        <w:rPr>
          <w:rFonts w:asciiTheme="majorHAnsi" w:hAnsiTheme="majorHAnsi" w:cs="Arial"/>
          <w:sz w:val="20"/>
          <w:szCs w:val="20"/>
          <w:lang w:val="es-ES_tradnl" w:eastAsia="es-ES"/>
        </w:rPr>
        <w:t>como</w:t>
      </w:r>
      <w:r w:rsidR="003C1B7C" w:rsidRPr="00506D99">
        <w:rPr>
          <w:rFonts w:asciiTheme="majorHAnsi" w:hAnsiTheme="majorHAnsi" w:cs="Arial"/>
          <w:sz w:val="20"/>
          <w:szCs w:val="20"/>
          <w:lang w:val="es-ES_tradnl" w:eastAsia="es-ES"/>
        </w:rPr>
        <w:t xml:space="preserve"> mecanismo e instancia para recurrir </w:t>
      </w:r>
      <w:r w:rsidR="00637C4F" w:rsidRPr="00506D99">
        <w:rPr>
          <w:rFonts w:asciiTheme="majorHAnsi" w:hAnsiTheme="majorHAnsi" w:cs="Arial"/>
          <w:sz w:val="20"/>
          <w:szCs w:val="20"/>
          <w:lang w:val="es-ES_tradnl" w:eastAsia="es-ES"/>
        </w:rPr>
        <w:t>el proceso ante</w:t>
      </w:r>
      <w:r w:rsidR="003C1B7C" w:rsidRPr="00506D99">
        <w:rPr>
          <w:rFonts w:asciiTheme="majorHAnsi" w:hAnsiTheme="majorHAnsi" w:cs="Arial"/>
          <w:sz w:val="20"/>
          <w:szCs w:val="20"/>
          <w:lang w:val="es-ES_tradnl" w:eastAsia="es-ES"/>
        </w:rPr>
        <w:t xml:space="preserve"> la Corte Centroamericana. También </w:t>
      </w:r>
      <w:r>
        <w:rPr>
          <w:rFonts w:asciiTheme="majorHAnsi" w:hAnsiTheme="majorHAnsi" w:cs="Arial"/>
          <w:sz w:val="20"/>
          <w:szCs w:val="20"/>
          <w:lang w:val="es-ES_tradnl" w:eastAsia="es-ES"/>
        </w:rPr>
        <w:t xml:space="preserve">sostiene </w:t>
      </w:r>
      <w:r w:rsidR="003C1B7C" w:rsidRPr="00506D99">
        <w:rPr>
          <w:rFonts w:asciiTheme="majorHAnsi" w:hAnsiTheme="majorHAnsi" w:cs="Arial"/>
          <w:sz w:val="20"/>
          <w:szCs w:val="20"/>
          <w:lang w:val="es-ES_tradnl" w:eastAsia="es-ES"/>
        </w:rPr>
        <w:t>que no se limitó el acceso a la justicia de la presunta víctima</w:t>
      </w:r>
      <w:r w:rsidR="00637C4F" w:rsidRPr="00506D99">
        <w:rPr>
          <w:rFonts w:asciiTheme="majorHAnsi" w:hAnsiTheme="majorHAnsi" w:cs="Arial"/>
          <w:sz w:val="20"/>
          <w:szCs w:val="20"/>
          <w:lang w:val="es-ES_tradnl" w:eastAsia="es-ES"/>
        </w:rPr>
        <w:t>,</w:t>
      </w:r>
      <w:r w:rsidR="003C1B7C" w:rsidRPr="00506D99">
        <w:rPr>
          <w:rFonts w:asciiTheme="majorHAnsi" w:hAnsiTheme="majorHAnsi" w:cs="Arial"/>
          <w:sz w:val="20"/>
          <w:szCs w:val="20"/>
          <w:lang w:val="es-ES_tradnl" w:eastAsia="es-ES"/>
        </w:rPr>
        <w:t xml:space="preserve"> sino que est</w:t>
      </w:r>
      <w:r>
        <w:rPr>
          <w:rFonts w:asciiTheme="majorHAnsi" w:hAnsiTheme="majorHAnsi" w:cs="Arial"/>
          <w:sz w:val="20"/>
          <w:szCs w:val="20"/>
          <w:lang w:val="es-ES_tradnl" w:eastAsia="es-ES"/>
        </w:rPr>
        <w:t>a</w:t>
      </w:r>
      <w:r w:rsidR="003C1B7C" w:rsidRPr="00506D99">
        <w:rPr>
          <w:rFonts w:asciiTheme="majorHAnsi" w:hAnsiTheme="majorHAnsi" w:cs="Arial"/>
          <w:sz w:val="20"/>
          <w:szCs w:val="20"/>
          <w:lang w:val="es-ES_tradnl" w:eastAsia="es-ES"/>
        </w:rPr>
        <w:t xml:space="preserve"> pretendió erróneamente recurrir a la jurisdicción interna hondureña en lugar de acudir a la jurisdicción competente.</w:t>
      </w:r>
    </w:p>
    <w:p w14:paraId="33210DBA" w14:textId="77777777" w:rsidR="00C2532D" w:rsidRPr="00506D99" w:rsidRDefault="00C2532D" w:rsidP="00825C4C">
      <w:pPr>
        <w:pStyle w:val="Default"/>
        <w:spacing w:after="0" w:line="240" w:lineRule="auto"/>
        <w:jc w:val="both"/>
        <w:rPr>
          <w:rFonts w:asciiTheme="majorHAnsi" w:hAnsiTheme="majorHAnsi" w:cs="Arial"/>
          <w:sz w:val="20"/>
          <w:szCs w:val="20"/>
          <w:lang w:val="es-ES_tradnl" w:eastAsia="es-ES"/>
        </w:rPr>
      </w:pPr>
    </w:p>
    <w:p w14:paraId="2C4E5606" w14:textId="2AF0F3E7" w:rsidR="00CF006E" w:rsidRPr="00506D99" w:rsidRDefault="00AC1D45" w:rsidP="00E20A73">
      <w:pPr>
        <w:pStyle w:val="Default"/>
        <w:numPr>
          <w:ilvl w:val="0"/>
          <w:numId w:val="55"/>
        </w:numPr>
        <w:spacing w:after="0" w:line="240" w:lineRule="auto"/>
        <w:jc w:val="both"/>
        <w:rPr>
          <w:rFonts w:asciiTheme="majorHAnsi" w:hAnsiTheme="majorHAnsi" w:cs="Arial"/>
          <w:sz w:val="20"/>
          <w:szCs w:val="20"/>
          <w:lang w:val="es-ES_tradnl" w:eastAsia="es-ES"/>
        </w:rPr>
      </w:pPr>
      <w:r w:rsidRPr="00506D99">
        <w:rPr>
          <w:rFonts w:asciiTheme="majorHAnsi" w:hAnsiTheme="majorHAnsi" w:cs="Arial"/>
          <w:sz w:val="20"/>
          <w:szCs w:val="20"/>
          <w:lang w:val="es-ES_tradnl" w:eastAsia="es-ES"/>
        </w:rPr>
        <w:t xml:space="preserve"> </w:t>
      </w:r>
      <w:r w:rsidR="00850886" w:rsidRPr="00506D99">
        <w:rPr>
          <w:rFonts w:asciiTheme="majorHAnsi" w:hAnsiTheme="majorHAnsi" w:cs="Arial"/>
          <w:sz w:val="20"/>
          <w:szCs w:val="20"/>
          <w:lang w:val="es-ES_tradnl" w:eastAsia="es-ES"/>
        </w:rPr>
        <w:t xml:space="preserve"> </w:t>
      </w:r>
      <w:r w:rsidR="003C1B7C" w:rsidRPr="00506D99">
        <w:rPr>
          <w:rFonts w:asciiTheme="majorHAnsi" w:hAnsiTheme="majorHAnsi" w:cs="Arial"/>
          <w:sz w:val="20"/>
          <w:szCs w:val="20"/>
          <w:lang w:val="es-ES_tradnl" w:eastAsia="es-ES"/>
        </w:rPr>
        <w:t>El Estado tambi</w:t>
      </w:r>
      <w:r w:rsidR="00445AE4" w:rsidRPr="00506D99">
        <w:rPr>
          <w:rFonts w:asciiTheme="majorHAnsi" w:hAnsiTheme="majorHAnsi" w:cs="Arial"/>
          <w:sz w:val="20"/>
          <w:szCs w:val="20"/>
          <w:lang w:val="es-ES_tradnl" w:eastAsia="es-ES"/>
        </w:rPr>
        <w:t>én niega que COCESNA h</w:t>
      </w:r>
      <w:r w:rsidR="00825C4C">
        <w:rPr>
          <w:rFonts w:asciiTheme="majorHAnsi" w:hAnsiTheme="majorHAnsi" w:cs="Arial"/>
          <w:sz w:val="20"/>
          <w:szCs w:val="20"/>
          <w:lang w:val="es-ES_tradnl" w:eastAsia="es-ES"/>
        </w:rPr>
        <w:t>ubiera</w:t>
      </w:r>
      <w:r w:rsidR="00445AE4" w:rsidRPr="00506D99">
        <w:rPr>
          <w:rFonts w:asciiTheme="majorHAnsi" w:hAnsiTheme="majorHAnsi" w:cs="Arial"/>
          <w:sz w:val="20"/>
          <w:szCs w:val="20"/>
          <w:lang w:val="es-ES_tradnl" w:eastAsia="es-ES"/>
        </w:rPr>
        <w:t xml:space="preserve"> renunciado a su inmunidad mediante la inscripción de un reglamento interno de trabajo ante las autoridades hondureñas. Aduce que </w:t>
      </w:r>
      <w:r w:rsidR="00825C4C">
        <w:rPr>
          <w:rFonts w:asciiTheme="majorHAnsi" w:hAnsiTheme="majorHAnsi" w:cs="Arial"/>
          <w:sz w:val="20"/>
          <w:szCs w:val="20"/>
          <w:lang w:val="es-ES_tradnl" w:eastAsia="es-ES"/>
        </w:rPr>
        <w:t>dicho</w:t>
      </w:r>
      <w:r w:rsidR="00445AE4" w:rsidRPr="00506D99">
        <w:rPr>
          <w:rFonts w:asciiTheme="majorHAnsi" w:hAnsiTheme="majorHAnsi" w:cs="Arial"/>
          <w:sz w:val="20"/>
          <w:szCs w:val="20"/>
          <w:lang w:val="es-ES_tradnl" w:eastAsia="es-ES"/>
        </w:rPr>
        <w:t xml:space="preserve"> reglamento fue inscrito de forma indebida</w:t>
      </w:r>
      <w:r w:rsidR="00825C4C">
        <w:rPr>
          <w:rFonts w:asciiTheme="majorHAnsi" w:hAnsiTheme="majorHAnsi" w:cs="Arial"/>
          <w:sz w:val="20"/>
          <w:szCs w:val="20"/>
          <w:lang w:val="es-ES_tradnl" w:eastAsia="es-ES"/>
        </w:rPr>
        <w:t>,</w:t>
      </w:r>
      <w:r w:rsidR="00445AE4" w:rsidRPr="00506D99">
        <w:rPr>
          <w:rFonts w:asciiTheme="majorHAnsi" w:hAnsiTheme="majorHAnsi" w:cs="Arial"/>
          <w:sz w:val="20"/>
          <w:szCs w:val="20"/>
          <w:lang w:val="es-ES_tradnl" w:eastAsia="es-ES"/>
        </w:rPr>
        <w:t xml:space="preserve"> por</w:t>
      </w:r>
      <w:r w:rsidR="00F83CFC" w:rsidRPr="00506D99">
        <w:rPr>
          <w:rFonts w:asciiTheme="majorHAnsi" w:hAnsiTheme="majorHAnsi" w:cs="Arial"/>
          <w:sz w:val="20"/>
          <w:szCs w:val="20"/>
          <w:lang w:val="es-ES_tradnl" w:eastAsia="es-ES"/>
        </w:rPr>
        <w:t xml:space="preserve"> ser contrario a la naturaleza jurídica de COCESNA y </w:t>
      </w:r>
      <w:r w:rsidR="00825C4C">
        <w:rPr>
          <w:rFonts w:asciiTheme="majorHAnsi" w:hAnsiTheme="majorHAnsi" w:cs="Arial"/>
          <w:sz w:val="20"/>
          <w:szCs w:val="20"/>
          <w:lang w:val="es-ES_tradnl" w:eastAsia="es-ES"/>
        </w:rPr>
        <w:t xml:space="preserve">por </w:t>
      </w:r>
      <w:r w:rsidR="00F83CFC" w:rsidRPr="00506D99">
        <w:rPr>
          <w:rFonts w:asciiTheme="majorHAnsi" w:hAnsiTheme="majorHAnsi" w:cs="Arial"/>
          <w:sz w:val="20"/>
          <w:szCs w:val="20"/>
          <w:lang w:val="es-ES_tradnl" w:eastAsia="es-ES"/>
        </w:rPr>
        <w:t>adolecer de requisitos de legitimidad</w:t>
      </w:r>
      <w:r w:rsidR="00825C4C">
        <w:rPr>
          <w:rFonts w:asciiTheme="majorHAnsi" w:hAnsiTheme="majorHAnsi" w:cs="Arial"/>
          <w:sz w:val="20"/>
          <w:szCs w:val="20"/>
          <w:lang w:val="es-ES_tradnl" w:eastAsia="es-ES"/>
        </w:rPr>
        <w:t>,</w:t>
      </w:r>
      <w:r w:rsidR="00F83CFC" w:rsidRPr="00506D99">
        <w:rPr>
          <w:rFonts w:asciiTheme="majorHAnsi" w:hAnsiTheme="majorHAnsi" w:cs="Arial"/>
          <w:sz w:val="20"/>
          <w:szCs w:val="20"/>
          <w:lang w:val="es-ES_tradnl" w:eastAsia="es-ES"/>
        </w:rPr>
        <w:t xml:space="preserve"> tales como la aprobación del Consejo Directivo del organismo. Destaca que la propia presunta víctima </w:t>
      </w:r>
      <w:r w:rsidR="00325E52">
        <w:rPr>
          <w:rFonts w:asciiTheme="majorHAnsi" w:hAnsiTheme="majorHAnsi" w:cs="Arial"/>
          <w:sz w:val="20"/>
          <w:szCs w:val="20"/>
          <w:lang w:val="es-ES_tradnl" w:eastAsia="es-ES"/>
        </w:rPr>
        <w:t xml:space="preserve">fue quien </w:t>
      </w:r>
      <w:r w:rsidR="00F83CFC" w:rsidRPr="00506D99">
        <w:rPr>
          <w:rFonts w:asciiTheme="majorHAnsi" w:hAnsiTheme="majorHAnsi" w:cs="Arial"/>
          <w:sz w:val="20"/>
          <w:szCs w:val="20"/>
          <w:lang w:val="es-ES_tradnl" w:eastAsia="es-ES"/>
        </w:rPr>
        <w:t>inscri</w:t>
      </w:r>
      <w:r w:rsidR="00325E52">
        <w:rPr>
          <w:rFonts w:asciiTheme="majorHAnsi" w:hAnsiTheme="majorHAnsi" w:cs="Arial"/>
          <w:sz w:val="20"/>
          <w:szCs w:val="20"/>
          <w:lang w:val="es-ES_tradnl" w:eastAsia="es-ES"/>
        </w:rPr>
        <w:t>bi</w:t>
      </w:r>
      <w:r w:rsidR="00F83CFC" w:rsidRPr="00506D99">
        <w:rPr>
          <w:rFonts w:asciiTheme="majorHAnsi" w:hAnsiTheme="majorHAnsi" w:cs="Arial"/>
          <w:sz w:val="20"/>
          <w:szCs w:val="20"/>
          <w:lang w:val="es-ES_tradnl" w:eastAsia="es-ES"/>
        </w:rPr>
        <w:t xml:space="preserve">ó </w:t>
      </w:r>
      <w:r w:rsidR="00325E52">
        <w:rPr>
          <w:rFonts w:asciiTheme="majorHAnsi" w:hAnsiTheme="majorHAnsi" w:cs="Arial"/>
          <w:sz w:val="20"/>
          <w:szCs w:val="20"/>
          <w:lang w:val="es-ES_tradnl" w:eastAsia="es-ES"/>
        </w:rPr>
        <w:t>el referido</w:t>
      </w:r>
      <w:r w:rsidR="00F83CFC" w:rsidRPr="00506D99">
        <w:rPr>
          <w:rFonts w:asciiTheme="majorHAnsi" w:hAnsiTheme="majorHAnsi" w:cs="Arial"/>
          <w:sz w:val="20"/>
          <w:szCs w:val="20"/>
          <w:lang w:val="es-ES_tradnl" w:eastAsia="es-ES"/>
        </w:rPr>
        <w:t xml:space="preserve"> reglamento cuando ocupaba el cargo de jefe de recursos humanos del organismo. </w:t>
      </w:r>
      <w:r w:rsidR="008604D2" w:rsidRPr="00506D99">
        <w:rPr>
          <w:rFonts w:asciiTheme="majorHAnsi" w:hAnsiTheme="majorHAnsi" w:cs="Arial"/>
          <w:sz w:val="20"/>
          <w:szCs w:val="20"/>
          <w:lang w:val="es-ES_tradnl" w:eastAsia="es-ES"/>
        </w:rPr>
        <w:t xml:space="preserve">Manifiesta además que la Comisión </w:t>
      </w:r>
      <w:r w:rsidR="00325E52">
        <w:rPr>
          <w:rFonts w:asciiTheme="majorHAnsi" w:hAnsiTheme="majorHAnsi" w:cs="Arial"/>
          <w:sz w:val="20"/>
          <w:szCs w:val="20"/>
          <w:lang w:val="es-ES_tradnl" w:eastAsia="es-ES"/>
        </w:rPr>
        <w:t xml:space="preserve">Interamericana </w:t>
      </w:r>
      <w:r w:rsidR="008604D2" w:rsidRPr="00506D99">
        <w:rPr>
          <w:rFonts w:asciiTheme="majorHAnsi" w:hAnsiTheme="majorHAnsi" w:cs="Arial"/>
          <w:sz w:val="20"/>
          <w:szCs w:val="20"/>
          <w:lang w:val="es-ES_tradnl" w:eastAsia="es-ES"/>
        </w:rPr>
        <w:t xml:space="preserve">carece de competencia </w:t>
      </w:r>
      <w:r w:rsidR="008604D2" w:rsidRPr="00506D99">
        <w:rPr>
          <w:rFonts w:asciiTheme="majorHAnsi" w:hAnsiTheme="majorHAnsi" w:cs="Arial"/>
          <w:i/>
          <w:sz w:val="20"/>
          <w:szCs w:val="20"/>
          <w:lang w:val="es-ES_tradnl" w:eastAsia="es-ES"/>
        </w:rPr>
        <w:t>ratione materiae</w:t>
      </w:r>
      <w:r w:rsidR="008604D2" w:rsidRPr="00506D99">
        <w:rPr>
          <w:rFonts w:asciiTheme="majorHAnsi" w:hAnsiTheme="majorHAnsi" w:cs="Arial"/>
          <w:sz w:val="20"/>
          <w:szCs w:val="20"/>
          <w:lang w:val="es-ES_tradnl" w:eastAsia="es-ES"/>
        </w:rPr>
        <w:t xml:space="preserve"> para pronunciarse sobre las violaciones alegadas por </w:t>
      </w:r>
      <w:r w:rsidR="00325E52">
        <w:rPr>
          <w:rFonts w:asciiTheme="majorHAnsi" w:hAnsiTheme="majorHAnsi" w:cs="Arial"/>
          <w:sz w:val="20"/>
          <w:szCs w:val="20"/>
          <w:lang w:val="es-ES_tradnl" w:eastAsia="es-ES"/>
        </w:rPr>
        <w:t xml:space="preserve">el </w:t>
      </w:r>
      <w:r w:rsidR="008604D2" w:rsidRPr="00506D99">
        <w:rPr>
          <w:rFonts w:asciiTheme="majorHAnsi" w:hAnsiTheme="majorHAnsi" w:cs="Arial"/>
          <w:sz w:val="20"/>
          <w:szCs w:val="20"/>
          <w:lang w:val="es-ES_tradnl" w:eastAsia="es-ES"/>
        </w:rPr>
        <w:t>peticionari</w:t>
      </w:r>
      <w:r w:rsidR="00325E52">
        <w:rPr>
          <w:rFonts w:asciiTheme="majorHAnsi" w:hAnsiTheme="majorHAnsi" w:cs="Arial"/>
          <w:sz w:val="20"/>
          <w:szCs w:val="20"/>
          <w:lang w:val="es-ES_tradnl" w:eastAsia="es-ES"/>
        </w:rPr>
        <w:t xml:space="preserve">o, ya </w:t>
      </w:r>
      <w:r w:rsidR="008604D2" w:rsidRPr="00506D99">
        <w:rPr>
          <w:rFonts w:asciiTheme="majorHAnsi" w:hAnsiTheme="majorHAnsi" w:cs="Arial"/>
          <w:sz w:val="20"/>
          <w:szCs w:val="20"/>
          <w:lang w:val="es-ES_tradnl" w:eastAsia="es-ES"/>
        </w:rPr>
        <w:t xml:space="preserve">que ello implicaría interpretar los instrumentos jurídicos de carácter internacional que regulan el SICA, </w:t>
      </w:r>
      <w:r w:rsidR="00325E52">
        <w:rPr>
          <w:rFonts w:asciiTheme="majorHAnsi" w:hAnsiTheme="majorHAnsi" w:cs="Arial"/>
          <w:sz w:val="20"/>
          <w:szCs w:val="20"/>
          <w:lang w:val="es-ES_tradnl" w:eastAsia="es-ES"/>
        </w:rPr>
        <w:t xml:space="preserve">que es de </w:t>
      </w:r>
      <w:r w:rsidR="008604D2" w:rsidRPr="00506D99">
        <w:rPr>
          <w:rFonts w:asciiTheme="majorHAnsi" w:hAnsiTheme="majorHAnsi" w:cs="Arial"/>
          <w:sz w:val="20"/>
          <w:szCs w:val="20"/>
          <w:lang w:val="es-ES_tradnl" w:eastAsia="es-ES"/>
        </w:rPr>
        <w:t>competencia exclusiva de la Corte Centroamericana.</w:t>
      </w:r>
    </w:p>
    <w:p w14:paraId="15AAD748" w14:textId="5D341855" w:rsidR="00CF006E" w:rsidRPr="00506D99" w:rsidRDefault="00CF006E" w:rsidP="00E20A73">
      <w:pPr>
        <w:pStyle w:val="Default"/>
        <w:spacing w:after="0" w:line="240" w:lineRule="auto"/>
        <w:jc w:val="both"/>
        <w:rPr>
          <w:rFonts w:asciiTheme="majorHAnsi" w:hAnsiTheme="majorHAnsi" w:cs="Arial"/>
          <w:sz w:val="20"/>
          <w:szCs w:val="20"/>
          <w:lang w:val="es-ES_tradnl" w:eastAsia="es-ES"/>
        </w:rPr>
      </w:pPr>
    </w:p>
    <w:p w14:paraId="15ADA7FD" w14:textId="76267EFB" w:rsidR="00CF006E" w:rsidRPr="00011667" w:rsidRDefault="00CF006E" w:rsidP="00A233B1">
      <w:pPr>
        <w:pStyle w:val="Default"/>
        <w:numPr>
          <w:ilvl w:val="0"/>
          <w:numId w:val="55"/>
        </w:numPr>
        <w:spacing w:after="0" w:line="240" w:lineRule="auto"/>
        <w:jc w:val="both"/>
        <w:rPr>
          <w:rFonts w:asciiTheme="majorHAnsi" w:hAnsiTheme="majorHAnsi" w:cs="Arial"/>
          <w:sz w:val="20"/>
          <w:szCs w:val="20"/>
          <w:lang w:val="es-ES_tradnl" w:eastAsia="es-ES"/>
        </w:rPr>
      </w:pPr>
      <w:r w:rsidRPr="00011667">
        <w:rPr>
          <w:rFonts w:asciiTheme="majorHAnsi" w:hAnsiTheme="majorHAnsi" w:cs="Arial"/>
          <w:sz w:val="20"/>
          <w:szCs w:val="20"/>
          <w:lang w:val="es-ES_tradnl" w:eastAsia="es-ES"/>
        </w:rPr>
        <w:t>Adicionalmente, el Estado</w:t>
      </w:r>
      <w:r w:rsidR="00570C5B" w:rsidRPr="00011667">
        <w:rPr>
          <w:rFonts w:asciiTheme="majorHAnsi" w:hAnsiTheme="majorHAnsi" w:cs="Arial"/>
          <w:sz w:val="20"/>
          <w:szCs w:val="20"/>
          <w:lang w:val="es-ES_tradnl" w:eastAsia="es-ES"/>
        </w:rPr>
        <w:t xml:space="preserve"> aporta</w:t>
      </w:r>
      <w:r w:rsidRPr="00011667">
        <w:rPr>
          <w:rFonts w:asciiTheme="majorHAnsi" w:hAnsiTheme="majorHAnsi" w:cs="Arial"/>
          <w:sz w:val="20"/>
          <w:szCs w:val="20"/>
          <w:lang w:val="es-ES_tradnl" w:eastAsia="es-ES"/>
        </w:rPr>
        <w:t xml:space="preserve"> un oficio </w:t>
      </w:r>
      <w:r w:rsidR="00325E52" w:rsidRPr="00011667">
        <w:rPr>
          <w:rFonts w:asciiTheme="majorHAnsi" w:hAnsiTheme="majorHAnsi" w:cs="Arial"/>
          <w:sz w:val="20"/>
          <w:szCs w:val="20"/>
          <w:lang w:val="es-ES_tradnl" w:eastAsia="es-ES"/>
        </w:rPr>
        <w:t xml:space="preserve">en que </w:t>
      </w:r>
      <w:r w:rsidRPr="00011667">
        <w:rPr>
          <w:rFonts w:asciiTheme="majorHAnsi" w:hAnsiTheme="majorHAnsi" w:cs="Arial"/>
          <w:sz w:val="20"/>
          <w:szCs w:val="20"/>
          <w:lang w:val="es-ES_tradnl" w:eastAsia="es-ES"/>
        </w:rPr>
        <w:t>COCESNA</w:t>
      </w:r>
      <w:r w:rsidR="00570C5B" w:rsidRPr="00011667">
        <w:rPr>
          <w:rFonts w:asciiTheme="majorHAnsi" w:hAnsiTheme="majorHAnsi" w:cs="Arial"/>
          <w:sz w:val="20"/>
          <w:szCs w:val="20"/>
          <w:lang w:val="es-ES_tradnl" w:eastAsia="es-ES"/>
        </w:rPr>
        <w:t xml:space="preserve"> </w:t>
      </w:r>
      <w:r w:rsidRPr="00011667">
        <w:rPr>
          <w:rFonts w:asciiTheme="majorHAnsi" w:hAnsiTheme="majorHAnsi" w:cs="Arial"/>
          <w:sz w:val="20"/>
          <w:szCs w:val="20"/>
          <w:lang w:val="es-ES_tradnl" w:eastAsia="es-ES"/>
        </w:rPr>
        <w:t>indica que cuenta con Código de S</w:t>
      </w:r>
      <w:r w:rsidR="007B5A5E" w:rsidRPr="00011667">
        <w:rPr>
          <w:rFonts w:asciiTheme="majorHAnsi" w:hAnsiTheme="majorHAnsi" w:cs="Arial"/>
          <w:sz w:val="20"/>
          <w:szCs w:val="20"/>
          <w:lang w:val="es-ES_tradnl" w:eastAsia="es-ES"/>
        </w:rPr>
        <w:t>ervicios desde 1988</w:t>
      </w:r>
      <w:r w:rsidR="00325E52" w:rsidRPr="00011667">
        <w:rPr>
          <w:rFonts w:asciiTheme="majorHAnsi" w:hAnsiTheme="majorHAnsi" w:cs="Arial"/>
          <w:sz w:val="20"/>
          <w:szCs w:val="20"/>
          <w:lang w:val="es-ES_tradnl" w:eastAsia="es-ES"/>
        </w:rPr>
        <w:t>,</w:t>
      </w:r>
      <w:r w:rsidR="007B5A5E" w:rsidRPr="00011667">
        <w:rPr>
          <w:rFonts w:asciiTheme="majorHAnsi" w:hAnsiTheme="majorHAnsi" w:cs="Arial"/>
          <w:sz w:val="20"/>
          <w:szCs w:val="20"/>
          <w:lang w:val="es-ES_tradnl" w:eastAsia="es-ES"/>
        </w:rPr>
        <w:t xml:space="preserve"> </w:t>
      </w:r>
      <w:r w:rsidR="00325E52" w:rsidRPr="00011667">
        <w:rPr>
          <w:rFonts w:asciiTheme="majorHAnsi" w:hAnsiTheme="majorHAnsi" w:cs="Arial"/>
          <w:sz w:val="20"/>
          <w:szCs w:val="20"/>
          <w:lang w:val="es-ES_tradnl" w:eastAsia="es-ES"/>
        </w:rPr>
        <w:t>al</w:t>
      </w:r>
      <w:r w:rsidR="007B5A5E" w:rsidRPr="00011667">
        <w:rPr>
          <w:rFonts w:asciiTheme="majorHAnsi" w:hAnsiTheme="majorHAnsi" w:cs="Arial"/>
          <w:sz w:val="20"/>
          <w:szCs w:val="20"/>
          <w:lang w:val="es-ES_tradnl" w:eastAsia="es-ES"/>
        </w:rPr>
        <w:t xml:space="preserve"> que la presunta víctima aceptó someterse en su contrato de trabajo. </w:t>
      </w:r>
      <w:r w:rsidR="00C519EB" w:rsidRPr="00011667">
        <w:rPr>
          <w:rFonts w:asciiTheme="majorHAnsi" w:hAnsiTheme="majorHAnsi" w:cs="Arial"/>
          <w:sz w:val="20"/>
          <w:szCs w:val="20"/>
          <w:lang w:val="es-ES_tradnl" w:eastAsia="es-ES"/>
        </w:rPr>
        <w:t xml:space="preserve">Según </w:t>
      </w:r>
      <w:r w:rsidR="00527D3D" w:rsidRPr="00011667">
        <w:rPr>
          <w:rFonts w:asciiTheme="majorHAnsi" w:hAnsiTheme="majorHAnsi" w:cs="Arial"/>
          <w:sz w:val="20"/>
          <w:szCs w:val="20"/>
          <w:lang w:val="es-ES_tradnl" w:eastAsia="es-ES"/>
        </w:rPr>
        <w:t>este</w:t>
      </w:r>
      <w:r w:rsidR="00C519EB" w:rsidRPr="00011667">
        <w:rPr>
          <w:rFonts w:asciiTheme="majorHAnsi" w:hAnsiTheme="majorHAnsi" w:cs="Arial"/>
          <w:sz w:val="20"/>
          <w:szCs w:val="20"/>
          <w:lang w:val="es-ES_tradnl" w:eastAsia="es-ES"/>
        </w:rPr>
        <w:t xml:space="preserve"> oficio, </w:t>
      </w:r>
      <w:r w:rsidR="007B5A5E" w:rsidRPr="00011667">
        <w:rPr>
          <w:rFonts w:asciiTheme="majorHAnsi" w:hAnsiTheme="majorHAnsi" w:cs="Arial"/>
          <w:sz w:val="20"/>
          <w:szCs w:val="20"/>
          <w:lang w:val="es-ES_tradnl" w:eastAsia="es-ES"/>
        </w:rPr>
        <w:t xml:space="preserve">la terminación del contrato de la presunta víctima </w:t>
      </w:r>
      <w:r w:rsidR="00325E52" w:rsidRPr="00011667">
        <w:rPr>
          <w:rFonts w:asciiTheme="majorHAnsi" w:hAnsiTheme="majorHAnsi" w:cs="Arial"/>
          <w:sz w:val="20"/>
          <w:szCs w:val="20"/>
          <w:lang w:val="es-ES_tradnl" w:eastAsia="es-ES"/>
        </w:rPr>
        <w:t xml:space="preserve">se hizo </w:t>
      </w:r>
      <w:r w:rsidR="007B5A5E" w:rsidRPr="00011667">
        <w:rPr>
          <w:rFonts w:asciiTheme="majorHAnsi" w:hAnsiTheme="majorHAnsi" w:cs="Arial"/>
          <w:sz w:val="20"/>
          <w:szCs w:val="20"/>
          <w:lang w:val="es-ES_tradnl" w:eastAsia="es-ES"/>
        </w:rPr>
        <w:t xml:space="preserve">conforme al Artículo IX del Código de </w:t>
      </w:r>
      <w:r w:rsidR="00614AAB" w:rsidRPr="00011667">
        <w:rPr>
          <w:rFonts w:asciiTheme="majorHAnsi" w:hAnsiTheme="majorHAnsi" w:cs="Arial"/>
          <w:sz w:val="20"/>
          <w:szCs w:val="20"/>
          <w:lang w:val="es-ES_tradnl" w:eastAsia="es-ES"/>
        </w:rPr>
        <w:t xml:space="preserve">Servicios el </w:t>
      </w:r>
      <w:r w:rsidR="00F234D7" w:rsidRPr="00011667">
        <w:rPr>
          <w:rFonts w:asciiTheme="majorHAnsi" w:hAnsiTheme="majorHAnsi" w:cs="Arial"/>
          <w:sz w:val="20"/>
          <w:szCs w:val="20"/>
          <w:lang w:val="es-ES_tradnl" w:eastAsia="es-ES"/>
        </w:rPr>
        <w:t xml:space="preserve">cual </w:t>
      </w:r>
      <w:r w:rsidR="00614AAB" w:rsidRPr="00011667">
        <w:rPr>
          <w:rFonts w:asciiTheme="majorHAnsi" w:hAnsiTheme="majorHAnsi" w:cs="Arial"/>
          <w:sz w:val="20"/>
          <w:szCs w:val="20"/>
          <w:lang w:val="es-ES_tradnl" w:eastAsia="es-ES"/>
        </w:rPr>
        <w:t xml:space="preserve">autorizaba la terminación unilateral del contrato con pago de las prestaciones correspondientes. </w:t>
      </w:r>
      <w:r w:rsidR="00C519EB" w:rsidRPr="00011667">
        <w:rPr>
          <w:rFonts w:asciiTheme="majorHAnsi" w:hAnsiTheme="majorHAnsi" w:cs="Arial"/>
          <w:sz w:val="20"/>
          <w:szCs w:val="20"/>
          <w:lang w:val="es-ES_tradnl" w:eastAsia="es-ES"/>
        </w:rPr>
        <w:t xml:space="preserve">El oficio también </w:t>
      </w:r>
      <w:r w:rsidR="00527D3D" w:rsidRPr="00011667">
        <w:rPr>
          <w:rFonts w:asciiTheme="majorHAnsi" w:hAnsiTheme="majorHAnsi" w:cs="Arial"/>
          <w:sz w:val="20"/>
          <w:szCs w:val="20"/>
          <w:lang w:val="es-ES_tradnl" w:eastAsia="es-ES"/>
        </w:rPr>
        <w:t>establece</w:t>
      </w:r>
      <w:r w:rsidR="00C519EB" w:rsidRPr="00011667">
        <w:rPr>
          <w:rFonts w:asciiTheme="majorHAnsi" w:hAnsiTheme="majorHAnsi" w:cs="Arial"/>
          <w:sz w:val="20"/>
          <w:szCs w:val="20"/>
          <w:lang w:val="es-ES_tradnl" w:eastAsia="es-ES"/>
        </w:rPr>
        <w:t xml:space="preserve"> </w:t>
      </w:r>
      <w:r w:rsidR="00325E52" w:rsidRPr="00011667">
        <w:rPr>
          <w:rFonts w:asciiTheme="majorHAnsi" w:hAnsiTheme="majorHAnsi" w:cs="Arial"/>
          <w:sz w:val="20"/>
          <w:szCs w:val="20"/>
          <w:lang w:val="es-ES_tradnl" w:eastAsia="es-ES"/>
        </w:rPr>
        <w:t>que,</w:t>
      </w:r>
      <w:r w:rsidR="00C519EB" w:rsidRPr="00011667">
        <w:rPr>
          <w:rFonts w:asciiTheme="majorHAnsi" w:hAnsiTheme="majorHAnsi" w:cs="Arial"/>
          <w:sz w:val="20"/>
          <w:szCs w:val="20"/>
          <w:lang w:val="es-ES_tradnl" w:eastAsia="es-ES"/>
        </w:rPr>
        <w:t xml:space="preserve"> si </w:t>
      </w:r>
      <w:r w:rsidR="00325E52" w:rsidRPr="00011667">
        <w:rPr>
          <w:rFonts w:asciiTheme="majorHAnsi" w:hAnsiTheme="majorHAnsi" w:cs="Arial"/>
          <w:sz w:val="20"/>
          <w:szCs w:val="20"/>
          <w:lang w:val="es-ES_tradnl" w:eastAsia="es-ES"/>
        </w:rPr>
        <w:t xml:space="preserve">la presunta víctima </w:t>
      </w:r>
      <w:r w:rsidR="00C519EB" w:rsidRPr="00011667">
        <w:rPr>
          <w:rFonts w:asciiTheme="majorHAnsi" w:hAnsiTheme="majorHAnsi" w:cs="Arial"/>
          <w:sz w:val="20"/>
          <w:szCs w:val="20"/>
          <w:lang w:val="es-ES_tradnl" w:eastAsia="es-ES"/>
        </w:rPr>
        <w:t>estaba inconforme</w:t>
      </w:r>
      <w:r w:rsidR="00325E52" w:rsidRPr="00011667">
        <w:rPr>
          <w:rFonts w:asciiTheme="majorHAnsi" w:hAnsiTheme="majorHAnsi" w:cs="Arial"/>
          <w:sz w:val="20"/>
          <w:szCs w:val="20"/>
          <w:lang w:val="es-ES_tradnl" w:eastAsia="es-ES"/>
        </w:rPr>
        <w:t>,</w:t>
      </w:r>
      <w:r w:rsidR="00C519EB" w:rsidRPr="00011667">
        <w:rPr>
          <w:rFonts w:asciiTheme="majorHAnsi" w:hAnsiTheme="majorHAnsi" w:cs="Arial"/>
          <w:sz w:val="20"/>
          <w:szCs w:val="20"/>
          <w:lang w:val="es-ES_tradnl" w:eastAsia="es-ES"/>
        </w:rPr>
        <w:t xml:space="preserve"> debió haber acudido a la Corte Centroamericana</w:t>
      </w:r>
      <w:r w:rsidR="00325E52" w:rsidRPr="00011667">
        <w:rPr>
          <w:rFonts w:asciiTheme="majorHAnsi" w:hAnsiTheme="majorHAnsi" w:cs="Arial"/>
          <w:sz w:val="20"/>
          <w:szCs w:val="20"/>
          <w:lang w:val="es-ES_tradnl" w:eastAsia="es-ES"/>
        </w:rPr>
        <w:t>,</w:t>
      </w:r>
      <w:r w:rsidR="00C519EB" w:rsidRPr="00011667">
        <w:rPr>
          <w:rFonts w:asciiTheme="majorHAnsi" w:hAnsiTheme="majorHAnsi" w:cs="Arial"/>
          <w:sz w:val="20"/>
          <w:szCs w:val="20"/>
          <w:lang w:val="es-ES_tradnl" w:eastAsia="es-ES"/>
        </w:rPr>
        <w:t xml:space="preserve"> único órgano competente para conocer en última instancia de las resoluciones administrativas de los órganos u organismos del SICA</w:t>
      </w:r>
      <w:r w:rsidR="00011667">
        <w:rPr>
          <w:rStyle w:val="FootnoteReference"/>
          <w:rFonts w:asciiTheme="majorHAnsi" w:hAnsiTheme="majorHAnsi"/>
          <w:sz w:val="20"/>
          <w:szCs w:val="20"/>
          <w:lang w:val="es-ES_tradnl" w:eastAsia="es-ES"/>
        </w:rPr>
        <w:footnoteReference w:id="7"/>
      </w:r>
      <w:r w:rsidR="00C519EB" w:rsidRPr="00011667">
        <w:rPr>
          <w:rFonts w:asciiTheme="majorHAnsi" w:hAnsiTheme="majorHAnsi" w:cs="Arial"/>
          <w:sz w:val="20"/>
          <w:szCs w:val="20"/>
          <w:lang w:val="es-ES_tradnl" w:eastAsia="es-ES"/>
        </w:rPr>
        <w:t xml:space="preserve">. </w:t>
      </w:r>
      <w:r w:rsidR="00AA2690" w:rsidRPr="00011667">
        <w:rPr>
          <w:rFonts w:asciiTheme="majorHAnsi" w:hAnsiTheme="majorHAnsi" w:cs="Arial"/>
          <w:sz w:val="20"/>
          <w:szCs w:val="20"/>
          <w:lang w:val="es-ES_tradnl" w:eastAsia="es-ES"/>
        </w:rPr>
        <w:t xml:space="preserve">El oficio resalta que la presunta víctima, por haber ocupado el cargo de jefe de recursos humanos del organismo, </w:t>
      </w:r>
      <w:r w:rsidR="00746DFA" w:rsidRPr="00011667">
        <w:rPr>
          <w:rFonts w:asciiTheme="majorHAnsi" w:hAnsiTheme="majorHAnsi" w:cs="Arial"/>
          <w:sz w:val="20"/>
          <w:szCs w:val="20"/>
          <w:lang w:val="es-ES_tradnl" w:eastAsia="es-ES"/>
        </w:rPr>
        <w:t xml:space="preserve">estaba en pleno conocimiento del régimen especial que le aplicaba como </w:t>
      </w:r>
      <w:r w:rsidR="00011667">
        <w:rPr>
          <w:rFonts w:asciiTheme="majorHAnsi" w:hAnsiTheme="majorHAnsi" w:cs="Arial"/>
          <w:sz w:val="20"/>
          <w:szCs w:val="20"/>
          <w:lang w:val="es-ES_tradnl" w:eastAsia="es-ES"/>
        </w:rPr>
        <w:t xml:space="preserve">persona </w:t>
      </w:r>
      <w:r w:rsidR="00746DFA" w:rsidRPr="00011667">
        <w:rPr>
          <w:rFonts w:asciiTheme="majorHAnsi" w:hAnsiTheme="majorHAnsi" w:cs="Arial"/>
          <w:sz w:val="20"/>
          <w:szCs w:val="20"/>
          <w:lang w:val="es-ES_tradnl" w:eastAsia="es-ES"/>
        </w:rPr>
        <w:t>trabajador</w:t>
      </w:r>
      <w:r w:rsidR="00011667">
        <w:rPr>
          <w:rFonts w:asciiTheme="majorHAnsi" w:hAnsiTheme="majorHAnsi" w:cs="Arial"/>
          <w:sz w:val="20"/>
          <w:szCs w:val="20"/>
          <w:lang w:val="es-ES_tradnl" w:eastAsia="es-ES"/>
        </w:rPr>
        <w:t>a</w:t>
      </w:r>
      <w:r w:rsidR="00746DFA" w:rsidRPr="00011667">
        <w:rPr>
          <w:rFonts w:asciiTheme="majorHAnsi" w:hAnsiTheme="majorHAnsi" w:cs="Arial"/>
          <w:sz w:val="20"/>
          <w:szCs w:val="20"/>
          <w:lang w:val="es-ES_tradnl" w:eastAsia="es-ES"/>
        </w:rPr>
        <w:t xml:space="preserve"> de un organismo internacional</w:t>
      </w:r>
      <w:r w:rsidR="00011667">
        <w:rPr>
          <w:rFonts w:asciiTheme="majorHAnsi" w:hAnsiTheme="majorHAnsi" w:cs="Arial"/>
          <w:sz w:val="20"/>
          <w:szCs w:val="20"/>
          <w:lang w:val="es-ES_tradnl" w:eastAsia="es-ES"/>
        </w:rPr>
        <w:t>,</w:t>
      </w:r>
      <w:r w:rsidR="00746DFA" w:rsidRPr="00011667">
        <w:rPr>
          <w:rFonts w:asciiTheme="majorHAnsi" w:hAnsiTheme="majorHAnsi" w:cs="Arial"/>
          <w:sz w:val="20"/>
          <w:szCs w:val="20"/>
          <w:lang w:val="es-ES_tradnl" w:eastAsia="es-ES"/>
        </w:rPr>
        <w:t xml:space="preserve"> del que se beneficiaba con privilegios tales como </w:t>
      </w:r>
      <w:r w:rsidR="00011667">
        <w:rPr>
          <w:rFonts w:asciiTheme="majorHAnsi" w:hAnsiTheme="majorHAnsi" w:cs="Arial"/>
          <w:sz w:val="20"/>
          <w:szCs w:val="20"/>
          <w:lang w:val="es-ES_tradnl" w:eastAsia="es-ES"/>
        </w:rPr>
        <w:t xml:space="preserve">la exención de </w:t>
      </w:r>
      <w:r w:rsidR="00746DFA" w:rsidRPr="00011667">
        <w:rPr>
          <w:rFonts w:asciiTheme="majorHAnsi" w:hAnsiTheme="majorHAnsi" w:cs="Arial"/>
          <w:sz w:val="20"/>
          <w:szCs w:val="20"/>
          <w:lang w:val="es-ES_tradnl" w:eastAsia="es-ES"/>
        </w:rPr>
        <w:t>impuesto</w:t>
      </w:r>
      <w:r w:rsidR="00F234D7" w:rsidRPr="00011667">
        <w:rPr>
          <w:rFonts w:asciiTheme="majorHAnsi" w:hAnsiTheme="majorHAnsi" w:cs="Arial"/>
          <w:sz w:val="20"/>
          <w:szCs w:val="20"/>
          <w:lang w:val="es-ES_tradnl" w:eastAsia="es-ES"/>
        </w:rPr>
        <w:t>s</w:t>
      </w:r>
      <w:r w:rsidR="00746DFA" w:rsidRPr="00011667">
        <w:rPr>
          <w:rFonts w:asciiTheme="majorHAnsi" w:hAnsiTheme="majorHAnsi" w:cs="Arial"/>
          <w:sz w:val="20"/>
          <w:szCs w:val="20"/>
          <w:lang w:val="es-ES_tradnl" w:eastAsia="es-ES"/>
        </w:rPr>
        <w:t xml:space="preserve"> </w:t>
      </w:r>
      <w:r w:rsidR="00011667">
        <w:rPr>
          <w:rFonts w:asciiTheme="majorHAnsi" w:hAnsiTheme="majorHAnsi" w:cs="Arial"/>
          <w:sz w:val="20"/>
          <w:szCs w:val="20"/>
          <w:lang w:val="es-ES_tradnl" w:eastAsia="es-ES"/>
        </w:rPr>
        <w:t>en</w:t>
      </w:r>
      <w:r w:rsidR="00746DFA" w:rsidRPr="00011667">
        <w:rPr>
          <w:rFonts w:asciiTheme="majorHAnsi" w:hAnsiTheme="majorHAnsi" w:cs="Arial"/>
          <w:sz w:val="20"/>
          <w:szCs w:val="20"/>
          <w:lang w:val="es-ES_tradnl" w:eastAsia="es-ES"/>
        </w:rPr>
        <w:t xml:space="preserve"> Honduras. </w:t>
      </w:r>
    </w:p>
    <w:p w14:paraId="751BA1B7" w14:textId="77777777" w:rsidR="00A1194F" w:rsidRPr="00506D99" w:rsidRDefault="00A1194F" w:rsidP="00E20A73">
      <w:pPr>
        <w:pStyle w:val="Default"/>
        <w:spacing w:after="0" w:line="240" w:lineRule="auto"/>
        <w:ind w:left="720"/>
        <w:jc w:val="both"/>
        <w:rPr>
          <w:rFonts w:asciiTheme="majorHAnsi" w:hAnsiTheme="majorHAnsi" w:cs="Arial"/>
          <w:sz w:val="20"/>
          <w:szCs w:val="20"/>
          <w:lang w:val="es-ES_tradnl" w:eastAsia="es-ES"/>
        </w:rPr>
      </w:pPr>
    </w:p>
    <w:p w14:paraId="105C0716" w14:textId="2835245F" w:rsidR="00746DFA" w:rsidRPr="00506D99" w:rsidRDefault="00A1194F" w:rsidP="00E20A73">
      <w:pPr>
        <w:pStyle w:val="Default"/>
        <w:numPr>
          <w:ilvl w:val="0"/>
          <w:numId w:val="55"/>
        </w:numPr>
        <w:spacing w:after="0" w:line="240" w:lineRule="auto"/>
        <w:jc w:val="both"/>
        <w:rPr>
          <w:rFonts w:asciiTheme="majorHAnsi" w:hAnsiTheme="majorHAnsi" w:cs="Arial"/>
          <w:sz w:val="20"/>
          <w:szCs w:val="20"/>
          <w:lang w:val="es-ES_tradnl" w:eastAsia="es-ES"/>
        </w:rPr>
      </w:pPr>
      <w:r w:rsidRPr="00506D99">
        <w:rPr>
          <w:rFonts w:asciiTheme="majorHAnsi" w:hAnsiTheme="majorHAnsi" w:cs="Arial"/>
          <w:sz w:val="20"/>
          <w:szCs w:val="20"/>
          <w:lang w:val="es-ES_tradnl" w:eastAsia="es-ES"/>
        </w:rPr>
        <w:lastRenderedPageBreak/>
        <w:t xml:space="preserve">En el </w:t>
      </w:r>
      <w:r w:rsidR="00527D3D" w:rsidRPr="00506D99">
        <w:rPr>
          <w:rFonts w:asciiTheme="majorHAnsi" w:hAnsiTheme="majorHAnsi" w:cs="Arial"/>
          <w:sz w:val="20"/>
          <w:szCs w:val="20"/>
          <w:lang w:val="es-ES_tradnl" w:eastAsia="es-ES"/>
        </w:rPr>
        <w:t xml:space="preserve">citado </w:t>
      </w:r>
      <w:r w:rsidRPr="00506D99">
        <w:rPr>
          <w:rFonts w:asciiTheme="majorHAnsi" w:hAnsiTheme="majorHAnsi" w:cs="Arial"/>
          <w:sz w:val="20"/>
          <w:szCs w:val="20"/>
          <w:lang w:val="es-ES_tradnl" w:eastAsia="es-ES"/>
        </w:rPr>
        <w:t xml:space="preserve">oficio de COCESNA también se </w:t>
      </w:r>
      <w:r w:rsidR="00527D3D" w:rsidRPr="00506D99">
        <w:rPr>
          <w:rFonts w:asciiTheme="majorHAnsi" w:hAnsiTheme="majorHAnsi" w:cs="Arial"/>
          <w:sz w:val="20"/>
          <w:szCs w:val="20"/>
          <w:lang w:val="es-ES_tradnl" w:eastAsia="es-ES"/>
        </w:rPr>
        <w:t>aclara</w:t>
      </w:r>
      <w:r w:rsidRPr="00506D99">
        <w:rPr>
          <w:rFonts w:asciiTheme="majorHAnsi" w:hAnsiTheme="majorHAnsi" w:cs="Arial"/>
          <w:sz w:val="20"/>
          <w:szCs w:val="20"/>
          <w:lang w:val="es-ES_tradnl" w:eastAsia="es-ES"/>
        </w:rPr>
        <w:t xml:space="preserve"> que el reglamento interno había sido inscrito ilícitamente</w:t>
      </w:r>
      <w:r w:rsidR="000D3C66">
        <w:rPr>
          <w:rFonts w:asciiTheme="majorHAnsi" w:hAnsiTheme="majorHAnsi" w:cs="Arial"/>
          <w:sz w:val="20"/>
          <w:szCs w:val="20"/>
          <w:lang w:val="es-ES_tradnl" w:eastAsia="es-ES"/>
        </w:rPr>
        <w:t>, pues</w:t>
      </w:r>
      <w:r w:rsidRPr="00506D99">
        <w:rPr>
          <w:rFonts w:asciiTheme="majorHAnsi" w:hAnsiTheme="majorHAnsi" w:cs="Arial"/>
          <w:sz w:val="20"/>
          <w:szCs w:val="20"/>
          <w:lang w:val="es-ES_tradnl" w:eastAsia="es-ES"/>
        </w:rPr>
        <w:t xml:space="preserve"> se </w:t>
      </w:r>
      <w:r w:rsidR="000D3C66" w:rsidRPr="00506D99">
        <w:rPr>
          <w:rFonts w:asciiTheme="majorHAnsi" w:hAnsiTheme="majorHAnsi" w:cs="Arial"/>
          <w:sz w:val="20"/>
          <w:szCs w:val="20"/>
          <w:lang w:val="es-ES_tradnl" w:eastAsia="es-ES"/>
        </w:rPr>
        <w:t>refiri</w:t>
      </w:r>
      <w:r w:rsidR="000D3C66">
        <w:rPr>
          <w:rFonts w:asciiTheme="majorHAnsi" w:hAnsiTheme="majorHAnsi" w:cs="Arial"/>
          <w:sz w:val="20"/>
          <w:szCs w:val="20"/>
          <w:lang w:val="es-ES_tradnl" w:eastAsia="es-ES"/>
        </w:rPr>
        <w:t>ó</w:t>
      </w:r>
      <w:r w:rsidR="000D3C66" w:rsidRPr="00506D99">
        <w:rPr>
          <w:rFonts w:asciiTheme="majorHAnsi" w:hAnsiTheme="majorHAnsi" w:cs="Arial"/>
          <w:sz w:val="20"/>
          <w:szCs w:val="20"/>
          <w:lang w:val="es-ES_tradnl" w:eastAsia="es-ES"/>
        </w:rPr>
        <w:t xml:space="preserve"> en todo el texto del reglamento a COCESNA como una “empresa”</w:t>
      </w:r>
      <w:r w:rsidR="000D3C66">
        <w:rPr>
          <w:rFonts w:asciiTheme="majorHAnsi" w:hAnsiTheme="majorHAnsi" w:cs="Arial"/>
          <w:sz w:val="20"/>
          <w:szCs w:val="20"/>
          <w:lang w:val="es-ES_tradnl" w:eastAsia="es-ES"/>
        </w:rPr>
        <w:t>,</w:t>
      </w:r>
      <w:r w:rsidR="000D3C66" w:rsidRPr="00506D99">
        <w:rPr>
          <w:rFonts w:asciiTheme="majorHAnsi" w:hAnsiTheme="majorHAnsi" w:cs="Arial"/>
          <w:sz w:val="20"/>
          <w:szCs w:val="20"/>
          <w:lang w:val="es-ES_tradnl" w:eastAsia="es-ES"/>
        </w:rPr>
        <w:t xml:space="preserve"> </w:t>
      </w:r>
      <w:r w:rsidR="000D3C66">
        <w:rPr>
          <w:rFonts w:asciiTheme="majorHAnsi" w:hAnsiTheme="majorHAnsi" w:cs="Arial"/>
          <w:sz w:val="20"/>
          <w:szCs w:val="20"/>
          <w:lang w:val="es-ES_tradnl" w:eastAsia="es-ES"/>
        </w:rPr>
        <w:t xml:space="preserve">y en consecuencia se </w:t>
      </w:r>
      <w:r w:rsidRPr="00506D99">
        <w:rPr>
          <w:rFonts w:asciiTheme="majorHAnsi" w:hAnsiTheme="majorHAnsi" w:cs="Arial"/>
          <w:sz w:val="20"/>
          <w:szCs w:val="20"/>
          <w:lang w:val="es-ES_tradnl" w:eastAsia="es-ES"/>
        </w:rPr>
        <w:t>ocultó a la Secretaría de Trabajo que era un organismo internacional</w:t>
      </w:r>
      <w:r w:rsidR="000D3C66">
        <w:rPr>
          <w:rFonts w:asciiTheme="majorHAnsi" w:hAnsiTheme="majorHAnsi" w:cs="Arial"/>
          <w:sz w:val="20"/>
          <w:szCs w:val="20"/>
          <w:lang w:val="es-ES_tradnl" w:eastAsia="es-ES"/>
        </w:rPr>
        <w:t>.</w:t>
      </w:r>
      <w:r w:rsidRPr="00506D99">
        <w:rPr>
          <w:rFonts w:asciiTheme="majorHAnsi" w:hAnsiTheme="majorHAnsi" w:cs="Arial"/>
          <w:sz w:val="20"/>
          <w:szCs w:val="20"/>
          <w:lang w:val="es-ES_tradnl" w:eastAsia="es-ES"/>
        </w:rPr>
        <w:t xml:space="preserve"> </w:t>
      </w:r>
      <w:r w:rsidR="000D3C66">
        <w:rPr>
          <w:rFonts w:asciiTheme="majorHAnsi" w:hAnsiTheme="majorHAnsi" w:cs="Arial"/>
          <w:sz w:val="20"/>
          <w:szCs w:val="20"/>
          <w:lang w:val="es-ES_tradnl" w:eastAsia="es-ES"/>
        </w:rPr>
        <w:t>Asimismo, afirma</w:t>
      </w:r>
      <w:r w:rsidRPr="00506D99">
        <w:rPr>
          <w:rFonts w:asciiTheme="majorHAnsi" w:hAnsiTheme="majorHAnsi" w:cs="Arial"/>
          <w:sz w:val="20"/>
          <w:szCs w:val="20"/>
          <w:lang w:val="es-ES_tradnl" w:eastAsia="es-ES"/>
        </w:rPr>
        <w:t xml:space="preserve"> que el reglamento hacía referencia a funciones aeroportuarias</w:t>
      </w:r>
      <w:r w:rsidR="000D3C66">
        <w:rPr>
          <w:rFonts w:asciiTheme="majorHAnsi" w:hAnsiTheme="majorHAnsi" w:cs="Arial"/>
          <w:sz w:val="20"/>
          <w:szCs w:val="20"/>
          <w:lang w:val="es-ES_tradnl" w:eastAsia="es-ES"/>
        </w:rPr>
        <w:t>, pero</w:t>
      </w:r>
      <w:r w:rsidRPr="00506D99">
        <w:rPr>
          <w:rFonts w:asciiTheme="majorHAnsi" w:hAnsiTheme="majorHAnsi" w:cs="Arial"/>
          <w:sz w:val="20"/>
          <w:szCs w:val="20"/>
          <w:lang w:val="es-ES_tradnl" w:eastAsia="es-ES"/>
        </w:rPr>
        <w:t xml:space="preserve"> las funciones de COCESNA son solo de navegación aérea. El oficio resalta que</w:t>
      </w:r>
      <w:r w:rsidR="000D3C66">
        <w:rPr>
          <w:rFonts w:asciiTheme="majorHAnsi" w:hAnsiTheme="majorHAnsi" w:cs="Arial"/>
          <w:sz w:val="20"/>
          <w:szCs w:val="20"/>
          <w:lang w:val="es-ES_tradnl" w:eastAsia="es-ES"/>
        </w:rPr>
        <w:t>,</w:t>
      </w:r>
      <w:r w:rsidRPr="00506D99">
        <w:rPr>
          <w:rFonts w:asciiTheme="majorHAnsi" w:hAnsiTheme="majorHAnsi" w:cs="Arial"/>
          <w:sz w:val="20"/>
          <w:szCs w:val="20"/>
          <w:lang w:val="es-ES_tradnl" w:eastAsia="es-ES"/>
        </w:rPr>
        <w:t xml:space="preserve"> según el Código de Trabajo </w:t>
      </w:r>
      <w:r w:rsidR="000D3C66">
        <w:rPr>
          <w:rFonts w:asciiTheme="majorHAnsi" w:hAnsiTheme="majorHAnsi" w:cs="Arial"/>
          <w:sz w:val="20"/>
          <w:szCs w:val="20"/>
          <w:lang w:val="es-ES_tradnl" w:eastAsia="es-ES"/>
        </w:rPr>
        <w:t>h</w:t>
      </w:r>
      <w:r w:rsidRPr="00506D99">
        <w:rPr>
          <w:rFonts w:asciiTheme="majorHAnsi" w:hAnsiTheme="majorHAnsi" w:cs="Arial"/>
          <w:sz w:val="20"/>
          <w:szCs w:val="20"/>
          <w:lang w:val="es-ES_tradnl" w:eastAsia="es-ES"/>
        </w:rPr>
        <w:t>ondureño los reglamentos internos de trabajo solo son aplicables a las empresas, explotaciones o establecimientos</w:t>
      </w:r>
      <w:r w:rsidR="006536B4" w:rsidRPr="00506D99">
        <w:rPr>
          <w:rFonts w:asciiTheme="majorHAnsi" w:hAnsiTheme="majorHAnsi" w:cs="Arial"/>
          <w:sz w:val="20"/>
          <w:szCs w:val="20"/>
          <w:lang w:val="es-ES_tradnl" w:eastAsia="es-ES"/>
        </w:rPr>
        <w:t xml:space="preserve">, no así a los organismos internacionales. </w:t>
      </w:r>
      <w:r w:rsidR="00527D3D" w:rsidRPr="00506D99">
        <w:rPr>
          <w:rFonts w:asciiTheme="majorHAnsi" w:hAnsiTheme="majorHAnsi" w:cs="Arial"/>
          <w:sz w:val="20"/>
          <w:szCs w:val="20"/>
          <w:lang w:val="es-ES_tradnl" w:eastAsia="es-ES"/>
        </w:rPr>
        <w:t>E</w:t>
      </w:r>
      <w:r w:rsidR="006536B4" w:rsidRPr="00506D99">
        <w:rPr>
          <w:rFonts w:asciiTheme="majorHAnsi" w:hAnsiTheme="majorHAnsi" w:cs="Arial"/>
          <w:sz w:val="20"/>
          <w:szCs w:val="20"/>
          <w:lang w:val="es-ES_tradnl" w:eastAsia="es-ES"/>
        </w:rPr>
        <w:t>l referido reglamento fue derogado en 2019 por la Secretaría de Estado</w:t>
      </w:r>
      <w:r w:rsidR="00527D3D" w:rsidRPr="00506D99">
        <w:rPr>
          <w:rFonts w:asciiTheme="majorHAnsi" w:hAnsiTheme="majorHAnsi" w:cs="Arial"/>
          <w:sz w:val="20"/>
          <w:szCs w:val="20"/>
          <w:lang w:val="es-ES_tradnl" w:eastAsia="es-ES"/>
        </w:rPr>
        <w:t>,</w:t>
      </w:r>
      <w:r w:rsidR="006536B4" w:rsidRPr="00506D99">
        <w:rPr>
          <w:rFonts w:asciiTheme="majorHAnsi" w:hAnsiTheme="majorHAnsi" w:cs="Arial"/>
          <w:sz w:val="20"/>
          <w:szCs w:val="20"/>
          <w:lang w:val="es-ES_tradnl" w:eastAsia="es-ES"/>
        </w:rPr>
        <w:t xml:space="preserve"> y nunca fue aplicado por COCESNA quien siempre aplicó su Código de Servicios. </w:t>
      </w:r>
    </w:p>
    <w:p w14:paraId="41FCCD47" w14:textId="77777777" w:rsidR="0076193D" w:rsidRPr="00506D99" w:rsidRDefault="0076193D" w:rsidP="00E20A73">
      <w:pPr>
        <w:pStyle w:val="Default"/>
        <w:spacing w:after="0" w:line="240" w:lineRule="auto"/>
        <w:jc w:val="both"/>
        <w:rPr>
          <w:rFonts w:asciiTheme="majorHAnsi" w:hAnsiTheme="majorHAnsi" w:cs="Arial"/>
          <w:sz w:val="16"/>
          <w:szCs w:val="16"/>
          <w:lang w:val="es-ES_tradnl" w:eastAsia="es-ES"/>
        </w:rPr>
      </w:pPr>
    </w:p>
    <w:p w14:paraId="2AC6DC71" w14:textId="51CA555C" w:rsidR="00C969C9" w:rsidRDefault="0037742A" w:rsidP="00E20A73">
      <w:pPr>
        <w:suppressAutoHyphens/>
        <w:spacing w:after="0" w:line="240" w:lineRule="auto"/>
        <w:ind w:left="720"/>
        <w:jc w:val="both"/>
        <w:rPr>
          <w:rFonts w:asciiTheme="majorHAnsi" w:hAnsiTheme="majorHAnsi"/>
          <w:b/>
          <w:sz w:val="20"/>
          <w:szCs w:val="20"/>
          <w:lang w:val="es-ES_tradnl"/>
        </w:rPr>
      </w:pPr>
      <w:r w:rsidRPr="00506D99">
        <w:rPr>
          <w:rFonts w:asciiTheme="majorHAnsi" w:hAnsiTheme="majorHAnsi" w:cs="Cambria"/>
          <w:b/>
          <w:bCs/>
          <w:color w:val="000000"/>
          <w:sz w:val="20"/>
          <w:szCs w:val="20"/>
          <w:u w:color="000000"/>
          <w:lang w:val="es-ES_tradnl" w:eastAsia="es-ES"/>
        </w:rPr>
        <w:t>VI.</w:t>
      </w:r>
      <w:r w:rsidRPr="00506D99">
        <w:rPr>
          <w:rFonts w:asciiTheme="majorHAnsi" w:hAnsiTheme="majorHAnsi" w:cs="Cambria"/>
          <w:b/>
          <w:bCs/>
          <w:color w:val="000000"/>
          <w:sz w:val="20"/>
          <w:szCs w:val="20"/>
          <w:u w:color="000000"/>
          <w:lang w:val="es-ES_tradnl" w:eastAsia="es-ES"/>
        </w:rPr>
        <w:tab/>
      </w:r>
      <w:r w:rsidRPr="00506D99">
        <w:rPr>
          <w:rFonts w:asciiTheme="majorHAnsi" w:hAnsiTheme="majorHAnsi"/>
          <w:b/>
          <w:sz w:val="20"/>
          <w:szCs w:val="20"/>
          <w:lang w:val="es-ES_tradnl"/>
        </w:rPr>
        <w:t>AGOTAMIENTO DE RECURSOS INTERNOS Y PLAZO DE PRESENTACIÓN</w:t>
      </w:r>
    </w:p>
    <w:p w14:paraId="69FA202F" w14:textId="1AB19C53" w:rsidR="0037742A" w:rsidRPr="00506D99" w:rsidRDefault="0037742A" w:rsidP="00E20A73">
      <w:pPr>
        <w:suppressAutoHyphens/>
        <w:spacing w:after="0" w:line="240" w:lineRule="auto"/>
        <w:ind w:left="720"/>
        <w:jc w:val="both"/>
        <w:rPr>
          <w:rFonts w:asciiTheme="majorHAnsi" w:hAnsiTheme="majorHAnsi"/>
          <w:sz w:val="20"/>
          <w:szCs w:val="20"/>
          <w:lang w:val="es-ES_tradnl"/>
        </w:rPr>
      </w:pPr>
      <w:r w:rsidRPr="00506D99">
        <w:rPr>
          <w:rFonts w:asciiTheme="majorHAnsi" w:hAnsiTheme="majorHAnsi" w:cs="Cambria"/>
          <w:b/>
          <w:bCs/>
          <w:color w:val="000000"/>
          <w:sz w:val="20"/>
          <w:szCs w:val="20"/>
          <w:u w:color="000000"/>
          <w:lang w:val="es-ES_tradnl" w:eastAsia="es-ES"/>
        </w:rPr>
        <w:t xml:space="preserve"> </w:t>
      </w:r>
    </w:p>
    <w:p w14:paraId="3EFAD3C3" w14:textId="6B4300AA" w:rsidR="00C770F2" w:rsidRPr="00506D99" w:rsidRDefault="0039666D" w:rsidP="00E20A73">
      <w:pPr>
        <w:pStyle w:val="Default"/>
        <w:numPr>
          <w:ilvl w:val="0"/>
          <w:numId w:val="55"/>
        </w:numPr>
        <w:spacing w:after="0" w:line="240" w:lineRule="auto"/>
        <w:jc w:val="both"/>
        <w:rPr>
          <w:rFonts w:asciiTheme="majorHAnsi" w:hAnsiTheme="majorHAnsi" w:cs="Arial"/>
          <w:sz w:val="20"/>
          <w:szCs w:val="20"/>
          <w:lang w:val="es-ES_tradnl"/>
        </w:rPr>
      </w:pPr>
      <w:r w:rsidRPr="00506D99">
        <w:rPr>
          <w:rFonts w:asciiTheme="majorHAnsi" w:hAnsiTheme="majorHAnsi"/>
          <w:sz w:val="20"/>
          <w:szCs w:val="20"/>
          <w:lang w:val="es-ES_tradnl"/>
        </w:rPr>
        <w:t xml:space="preserve">La </w:t>
      </w:r>
      <w:r w:rsidR="006536B4" w:rsidRPr="00506D99">
        <w:rPr>
          <w:rFonts w:asciiTheme="majorHAnsi" w:hAnsiTheme="majorHAnsi"/>
          <w:sz w:val="20"/>
          <w:szCs w:val="20"/>
          <w:lang w:val="es-ES_tradnl"/>
        </w:rPr>
        <w:t>parte peticionaria ha sostenido que la presunta víctima agotó todos los recursos previstos por el ordenamiento jurídico hondureño. A su vez, el Estado a</w:t>
      </w:r>
      <w:r w:rsidR="000D3C66">
        <w:rPr>
          <w:rFonts w:asciiTheme="majorHAnsi" w:hAnsiTheme="majorHAnsi"/>
          <w:sz w:val="20"/>
          <w:szCs w:val="20"/>
          <w:lang w:val="es-ES_tradnl"/>
        </w:rPr>
        <w:t>firma</w:t>
      </w:r>
      <w:r w:rsidR="006536B4" w:rsidRPr="00506D99">
        <w:rPr>
          <w:rFonts w:asciiTheme="majorHAnsi" w:hAnsiTheme="majorHAnsi"/>
          <w:sz w:val="20"/>
          <w:szCs w:val="20"/>
          <w:lang w:val="es-ES_tradnl"/>
        </w:rPr>
        <w:t xml:space="preserve"> que </w:t>
      </w:r>
      <w:r w:rsidR="000D3C66">
        <w:rPr>
          <w:rFonts w:asciiTheme="majorHAnsi" w:hAnsiTheme="majorHAnsi"/>
          <w:sz w:val="20"/>
          <w:szCs w:val="20"/>
          <w:lang w:val="es-ES_tradnl"/>
        </w:rPr>
        <w:t>aquel</w:t>
      </w:r>
      <w:r w:rsidR="006536B4" w:rsidRPr="00506D99">
        <w:rPr>
          <w:rFonts w:asciiTheme="majorHAnsi" w:hAnsiTheme="majorHAnsi"/>
          <w:sz w:val="20"/>
          <w:szCs w:val="20"/>
          <w:lang w:val="es-ES_tradnl"/>
        </w:rPr>
        <w:t xml:space="preserve">la no acudió </w:t>
      </w:r>
      <w:r w:rsidR="000D3C66">
        <w:rPr>
          <w:rFonts w:asciiTheme="majorHAnsi" w:hAnsiTheme="majorHAnsi"/>
          <w:sz w:val="20"/>
          <w:szCs w:val="20"/>
          <w:lang w:val="es-ES_tradnl"/>
        </w:rPr>
        <w:t xml:space="preserve">a </w:t>
      </w:r>
      <w:r w:rsidR="000D3C66" w:rsidRPr="00506D99">
        <w:rPr>
          <w:rFonts w:asciiTheme="majorHAnsi" w:hAnsiTheme="majorHAnsi"/>
          <w:sz w:val="20"/>
          <w:szCs w:val="20"/>
          <w:lang w:val="es-ES_tradnl"/>
        </w:rPr>
        <w:t xml:space="preserve">la Corte Centroamericana </w:t>
      </w:r>
      <w:r w:rsidR="006536B4" w:rsidRPr="00506D99">
        <w:rPr>
          <w:rFonts w:asciiTheme="majorHAnsi" w:hAnsiTheme="majorHAnsi"/>
          <w:sz w:val="20"/>
          <w:szCs w:val="20"/>
          <w:lang w:val="es-ES_tradnl"/>
        </w:rPr>
        <w:t xml:space="preserve">para </w:t>
      </w:r>
      <w:r w:rsidR="000D3C66">
        <w:rPr>
          <w:rFonts w:asciiTheme="majorHAnsi" w:hAnsiTheme="majorHAnsi"/>
          <w:sz w:val="20"/>
          <w:szCs w:val="20"/>
          <w:lang w:val="es-ES_tradnl"/>
        </w:rPr>
        <w:t xml:space="preserve">plantear </w:t>
      </w:r>
      <w:r w:rsidR="006536B4" w:rsidRPr="00506D99">
        <w:rPr>
          <w:rFonts w:asciiTheme="majorHAnsi" w:hAnsiTheme="majorHAnsi"/>
          <w:sz w:val="20"/>
          <w:szCs w:val="20"/>
          <w:lang w:val="es-ES_tradnl"/>
        </w:rPr>
        <w:t>su controversia con COCESNA</w:t>
      </w:r>
      <w:r w:rsidR="00A0451C">
        <w:rPr>
          <w:rFonts w:asciiTheme="majorHAnsi" w:hAnsiTheme="majorHAnsi"/>
          <w:sz w:val="20"/>
          <w:szCs w:val="20"/>
          <w:lang w:val="es-ES_tradnl"/>
        </w:rPr>
        <w:t>, a pesar de que era este el tribunal competente</w:t>
      </w:r>
      <w:r w:rsidR="006536B4" w:rsidRPr="00506D99">
        <w:rPr>
          <w:rFonts w:asciiTheme="majorHAnsi" w:hAnsiTheme="majorHAnsi"/>
          <w:sz w:val="20"/>
          <w:szCs w:val="20"/>
          <w:lang w:val="es-ES_tradnl"/>
        </w:rPr>
        <w:t xml:space="preserve">. </w:t>
      </w:r>
    </w:p>
    <w:p w14:paraId="548C1394" w14:textId="77777777" w:rsidR="00A200D6" w:rsidRPr="00506D99" w:rsidRDefault="00A200D6" w:rsidP="00E20A73">
      <w:pPr>
        <w:pStyle w:val="Default"/>
        <w:spacing w:after="0" w:line="240" w:lineRule="auto"/>
        <w:ind w:left="720"/>
        <w:jc w:val="both"/>
        <w:rPr>
          <w:rFonts w:asciiTheme="majorHAnsi" w:hAnsiTheme="majorHAnsi" w:cs="Arial"/>
          <w:sz w:val="20"/>
          <w:szCs w:val="20"/>
          <w:lang w:val="es-ES_tradnl"/>
        </w:rPr>
      </w:pPr>
    </w:p>
    <w:p w14:paraId="72BB69A5" w14:textId="3B84FD43" w:rsidR="00A200D6" w:rsidRPr="00A0451C" w:rsidRDefault="00A200D6" w:rsidP="00E20A73">
      <w:pPr>
        <w:pStyle w:val="Default"/>
        <w:numPr>
          <w:ilvl w:val="0"/>
          <w:numId w:val="55"/>
        </w:numPr>
        <w:spacing w:after="0" w:line="240" w:lineRule="auto"/>
        <w:jc w:val="both"/>
        <w:rPr>
          <w:rFonts w:asciiTheme="majorHAnsi" w:hAnsiTheme="majorHAnsi" w:cs="Arial"/>
          <w:sz w:val="20"/>
          <w:szCs w:val="20"/>
          <w:lang w:val="es-ES_tradnl"/>
        </w:rPr>
      </w:pPr>
      <w:r w:rsidRPr="00A0451C">
        <w:rPr>
          <w:rFonts w:asciiTheme="majorHAnsi" w:hAnsiTheme="majorHAnsi" w:cs="Arial"/>
          <w:sz w:val="20"/>
          <w:szCs w:val="20"/>
          <w:lang w:val="es-ES_tradnl"/>
        </w:rPr>
        <w:t xml:space="preserve">Según el criterio sostenido </w:t>
      </w:r>
      <w:r w:rsidR="00A0451C">
        <w:rPr>
          <w:rFonts w:asciiTheme="majorHAnsi" w:hAnsiTheme="majorHAnsi" w:cs="Arial"/>
          <w:sz w:val="20"/>
          <w:szCs w:val="20"/>
          <w:lang w:val="es-ES_tradnl"/>
        </w:rPr>
        <w:t>por</w:t>
      </w:r>
      <w:r w:rsidRPr="00A0451C">
        <w:rPr>
          <w:rFonts w:asciiTheme="majorHAnsi" w:hAnsiTheme="majorHAnsi" w:cs="Arial"/>
          <w:sz w:val="20"/>
          <w:szCs w:val="20"/>
          <w:lang w:val="es-ES_tradnl"/>
        </w:rPr>
        <w:t xml:space="preserve"> la Comisión, “</w:t>
      </w:r>
      <w:r w:rsidR="00A0451C">
        <w:rPr>
          <w:rFonts w:asciiTheme="majorHAnsi" w:hAnsiTheme="majorHAnsi" w:cs="Arial"/>
          <w:sz w:val="20"/>
          <w:szCs w:val="20"/>
          <w:lang w:val="es-ES_tradnl"/>
        </w:rPr>
        <w:t>t</w:t>
      </w:r>
      <w:r w:rsidRPr="00A0451C">
        <w:rPr>
          <w:rFonts w:ascii="Cambria" w:hAnsi="Cambria" w:cs="Calibri"/>
          <w:sz w:val="20"/>
          <w:szCs w:val="20"/>
          <w:lang w:val="es-ES_tradnl"/>
        </w:rPr>
        <w:t>oda vez que un Estado alega la falta de agotamiento de los recursos internos por parte de los peticionarios, tiene la carga de identificar cuáles serían los recursos a agotarse y demostrar que los recursos que no han sido agotados resultan adecuados para subsanar la violación alegada, vale decir que la función de esos recursos dentro del sistema del derecho interno es idónea para proteger la situación jurídica infringida”</w:t>
      </w:r>
      <w:bookmarkStart w:id="2" w:name="_Hlk93663359"/>
      <w:r w:rsidRPr="00A0451C">
        <w:rPr>
          <w:rStyle w:val="FootnoteReference"/>
          <w:rFonts w:ascii="Cambria" w:hAnsi="Cambria" w:cs="Calibri"/>
          <w:sz w:val="20"/>
          <w:szCs w:val="20"/>
          <w:lang w:val="es-ES_tradnl"/>
        </w:rPr>
        <w:footnoteReference w:id="8"/>
      </w:r>
      <w:bookmarkEnd w:id="2"/>
      <w:r w:rsidRPr="00A0451C">
        <w:rPr>
          <w:rFonts w:ascii="Cambria" w:hAnsi="Cambria" w:cs="Calibri"/>
          <w:sz w:val="20"/>
          <w:szCs w:val="20"/>
          <w:lang w:val="es-ES_tradnl"/>
        </w:rPr>
        <w:t xml:space="preserve">. </w:t>
      </w:r>
      <w:r w:rsidR="0006676B" w:rsidRPr="00A0451C">
        <w:rPr>
          <w:rFonts w:ascii="Cambria" w:hAnsi="Cambria" w:cs="Calibri"/>
          <w:sz w:val="20"/>
          <w:szCs w:val="20"/>
          <w:lang w:val="es-ES_tradnl"/>
        </w:rPr>
        <w:t>Asimismo,</w:t>
      </w:r>
      <w:r w:rsidRPr="00A0451C">
        <w:rPr>
          <w:rFonts w:ascii="Cambria" w:hAnsi="Cambria" w:cs="Calibri"/>
          <w:sz w:val="20"/>
          <w:szCs w:val="20"/>
          <w:lang w:val="es-ES_tradnl"/>
        </w:rPr>
        <w:t xml:space="preserve"> la Corte Interamericana ha señalado que </w:t>
      </w:r>
      <w:r w:rsidRPr="00A0451C">
        <w:rPr>
          <w:rFonts w:asciiTheme="majorHAnsi" w:hAnsiTheme="majorHAnsi" w:cs="Calibri"/>
          <w:sz w:val="20"/>
          <w:szCs w:val="20"/>
          <w:lang w:val="es-ES_tradnl"/>
        </w:rPr>
        <w:t>“</w:t>
      </w:r>
      <w:r w:rsidR="00A0451C">
        <w:rPr>
          <w:rFonts w:asciiTheme="majorHAnsi" w:hAnsiTheme="majorHAnsi" w:cs="Calibri"/>
          <w:sz w:val="20"/>
          <w:szCs w:val="20"/>
          <w:lang w:val="es-ES_tradnl"/>
        </w:rPr>
        <w:t>u</w:t>
      </w:r>
      <w:r w:rsidRPr="00A0451C">
        <w:rPr>
          <w:rFonts w:asciiTheme="majorHAnsi" w:hAnsiTheme="majorHAnsi"/>
          <w:sz w:val="20"/>
          <w:szCs w:val="20"/>
          <w:lang w:val="es-ES_tradnl"/>
        </w:rPr>
        <w:t>na vez que un Estado Parte ha probado la disponibilidad de recursos internos para el ejercicio de un derecho protegido por la Convención, la carga de la prueba se traslada al reclamante que deberá, entonces, demostrar que las excepciones contempladas en el artículo 46.2 son aplicables”</w:t>
      </w:r>
      <w:bookmarkStart w:id="3" w:name="_Hlk93663403"/>
      <w:r w:rsidRPr="00A0451C">
        <w:rPr>
          <w:rStyle w:val="FootnoteReference"/>
          <w:rFonts w:asciiTheme="majorHAnsi" w:hAnsiTheme="majorHAnsi"/>
          <w:sz w:val="20"/>
          <w:szCs w:val="20"/>
          <w:lang w:val="es-ES_tradnl"/>
        </w:rPr>
        <w:footnoteReference w:id="9"/>
      </w:r>
      <w:r w:rsidRPr="00A0451C">
        <w:rPr>
          <w:rFonts w:asciiTheme="majorHAnsi" w:hAnsiTheme="majorHAnsi"/>
          <w:sz w:val="20"/>
          <w:szCs w:val="20"/>
          <w:lang w:val="es-ES_tradnl"/>
        </w:rPr>
        <w:t>.</w:t>
      </w:r>
      <w:bookmarkEnd w:id="3"/>
    </w:p>
    <w:p w14:paraId="7DBE7355" w14:textId="22A3ACD2" w:rsidR="00A200D6" w:rsidRPr="00506D99" w:rsidRDefault="00A200D6" w:rsidP="00E20A73">
      <w:pPr>
        <w:pStyle w:val="Default"/>
        <w:spacing w:after="0" w:line="240" w:lineRule="auto"/>
        <w:jc w:val="both"/>
        <w:rPr>
          <w:rFonts w:asciiTheme="majorHAnsi" w:hAnsiTheme="majorHAnsi" w:cs="Arial"/>
          <w:sz w:val="20"/>
          <w:szCs w:val="20"/>
          <w:lang w:val="es-ES_tradnl"/>
        </w:rPr>
      </w:pPr>
    </w:p>
    <w:p w14:paraId="653F5279" w14:textId="2785D5E0" w:rsidR="003F6E68" w:rsidRPr="00506D99" w:rsidRDefault="00A200D6" w:rsidP="00E20A73">
      <w:pPr>
        <w:pStyle w:val="Default"/>
        <w:numPr>
          <w:ilvl w:val="0"/>
          <w:numId w:val="55"/>
        </w:numPr>
        <w:spacing w:after="0" w:line="240" w:lineRule="auto"/>
        <w:jc w:val="both"/>
        <w:rPr>
          <w:rFonts w:asciiTheme="majorHAnsi" w:hAnsiTheme="majorHAnsi" w:cs="Arial"/>
          <w:sz w:val="20"/>
          <w:szCs w:val="20"/>
          <w:lang w:val="es-ES_tradnl"/>
        </w:rPr>
      </w:pPr>
      <w:r w:rsidRPr="00506D99">
        <w:rPr>
          <w:rFonts w:asciiTheme="majorHAnsi" w:hAnsiTheme="majorHAnsi" w:cs="Arial"/>
          <w:sz w:val="20"/>
          <w:szCs w:val="20"/>
          <w:lang w:val="es-ES_tradnl"/>
        </w:rPr>
        <w:t xml:space="preserve">En el presente </w:t>
      </w:r>
      <w:r w:rsidR="00A0451C">
        <w:rPr>
          <w:rFonts w:asciiTheme="majorHAnsi" w:hAnsiTheme="majorHAnsi" w:cs="Arial"/>
          <w:sz w:val="20"/>
          <w:szCs w:val="20"/>
          <w:lang w:val="es-ES_tradnl"/>
        </w:rPr>
        <w:t>asunto</w:t>
      </w:r>
      <w:r w:rsidRPr="00506D99">
        <w:rPr>
          <w:rFonts w:asciiTheme="majorHAnsi" w:hAnsiTheme="majorHAnsi" w:cs="Arial"/>
          <w:sz w:val="20"/>
          <w:szCs w:val="20"/>
          <w:lang w:val="es-ES_tradnl"/>
        </w:rPr>
        <w:t xml:space="preserve">, el Estado ha indicado que la apelación ante la Corte Centroamericana </w:t>
      </w:r>
      <w:r w:rsidR="00A0451C">
        <w:rPr>
          <w:rFonts w:asciiTheme="majorHAnsi" w:hAnsiTheme="majorHAnsi" w:cs="Arial"/>
          <w:sz w:val="20"/>
          <w:szCs w:val="20"/>
          <w:lang w:val="es-ES_tradnl"/>
        </w:rPr>
        <w:t>fue establecida por Honduras y</w:t>
      </w:r>
      <w:r w:rsidR="00A0451C" w:rsidRPr="00506D99">
        <w:rPr>
          <w:rFonts w:asciiTheme="majorHAnsi" w:hAnsiTheme="majorHAnsi" w:cs="Arial"/>
          <w:sz w:val="20"/>
          <w:szCs w:val="20"/>
          <w:lang w:val="es-ES_tradnl"/>
        </w:rPr>
        <w:t xml:space="preserve"> los demás Estados miembros del SICA, </w:t>
      </w:r>
      <w:r w:rsidRPr="00506D99">
        <w:rPr>
          <w:rFonts w:asciiTheme="majorHAnsi" w:hAnsiTheme="majorHAnsi" w:cs="Arial"/>
          <w:sz w:val="20"/>
          <w:szCs w:val="20"/>
          <w:lang w:val="es-ES_tradnl"/>
        </w:rPr>
        <w:t xml:space="preserve">como </w:t>
      </w:r>
      <w:r w:rsidR="00A0451C">
        <w:rPr>
          <w:rFonts w:asciiTheme="majorHAnsi" w:hAnsiTheme="majorHAnsi" w:cs="Arial"/>
          <w:sz w:val="20"/>
          <w:szCs w:val="20"/>
          <w:lang w:val="es-ES_tradnl"/>
        </w:rPr>
        <w:t>el</w:t>
      </w:r>
      <w:r w:rsidRPr="00506D99">
        <w:rPr>
          <w:rFonts w:asciiTheme="majorHAnsi" w:hAnsiTheme="majorHAnsi" w:cs="Arial"/>
          <w:sz w:val="20"/>
          <w:szCs w:val="20"/>
          <w:lang w:val="es-ES_tradnl"/>
        </w:rPr>
        <w:t xml:space="preserve"> mecanismo idóneo de reclamo para las personas que consideraran que sus derechos laborales habían sido menoscabados por COCESNA. </w:t>
      </w:r>
      <w:r w:rsidR="00912FD4" w:rsidRPr="00A0451C">
        <w:rPr>
          <w:rFonts w:asciiTheme="majorHAnsi" w:hAnsiTheme="majorHAnsi" w:cs="Arial"/>
          <w:sz w:val="20"/>
          <w:szCs w:val="20"/>
          <w:lang w:val="es-ES_tradnl" w:eastAsia="es-ES"/>
        </w:rPr>
        <w:t>Además</w:t>
      </w:r>
      <w:r w:rsidR="006A3022" w:rsidRPr="00A0451C">
        <w:rPr>
          <w:rFonts w:asciiTheme="majorHAnsi" w:hAnsiTheme="majorHAnsi" w:cs="Arial"/>
          <w:sz w:val="20"/>
          <w:szCs w:val="20"/>
          <w:lang w:val="es-ES_tradnl" w:eastAsia="es-ES"/>
        </w:rPr>
        <w:t xml:space="preserve">, el Estado ha trasladado </w:t>
      </w:r>
      <w:r w:rsidR="002C5A69">
        <w:rPr>
          <w:rFonts w:asciiTheme="majorHAnsi" w:hAnsiTheme="majorHAnsi" w:cs="Arial"/>
          <w:sz w:val="20"/>
          <w:szCs w:val="20"/>
          <w:lang w:val="es-ES_tradnl" w:eastAsia="es-ES"/>
        </w:rPr>
        <w:t xml:space="preserve">un </w:t>
      </w:r>
      <w:r w:rsidR="006A3022" w:rsidRPr="00A0451C">
        <w:rPr>
          <w:rFonts w:asciiTheme="majorHAnsi" w:hAnsiTheme="majorHAnsi" w:cs="Arial"/>
          <w:sz w:val="20"/>
          <w:szCs w:val="20"/>
          <w:lang w:val="es-ES_tradnl" w:eastAsia="es-ES"/>
        </w:rPr>
        <w:t xml:space="preserve">oficio </w:t>
      </w:r>
      <w:r w:rsidR="002C5A69">
        <w:rPr>
          <w:rFonts w:asciiTheme="majorHAnsi" w:hAnsiTheme="majorHAnsi" w:cs="Arial"/>
          <w:sz w:val="20"/>
          <w:szCs w:val="20"/>
          <w:lang w:val="es-ES_tradnl" w:eastAsia="es-ES"/>
        </w:rPr>
        <w:t xml:space="preserve">en que </w:t>
      </w:r>
      <w:r w:rsidR="006A3022" w:rsidRPr="00A0451C">
        <w:rPr>
          <w:rFonts w:asciiTheme="majorHAnsi" w:hAnsiTheme="majorHAnsi" w:cs="Arial"/>
          <w:sz w:val="20"/>
          <w:szCs w:val="20"/>
          <w:lang w:val="es-ES_tradnl" w:eastAsia="es-ES"/>
        </w:rPr>
        <w:t>COCESNA reconoce la competencia de la Corte Centroamericana para resolver en última instancia</w:t>
      </w:r>
      <w:r w:rsidR="00507164" w:rsidRPr="00A0451C">
        <w:rPr>
          <w:rFonts w:asciiTheme="majorHAnsi" w:hAnsiTheme="majorHAnsi" w:cs="Arial"/>
          <w:sz w:val="20"/>
          <w:szCs w:val="20"/>
          <w:lang w:val="es-ES_tradnl" w:eastAsia="es-ES"/>
        </w:rPr>
        <w:t xml:space="preserve"> y de forma vinculante</w:t>
      </w:r>
      <w:r w:rsidR="006A3022" w:rsidRPr="00A0451C">
        <w:rPr>
          <w:rFonts w:asciiTheme="majorHAnsi" w:hAnsiTheme="majorHAnsi" w:cs="Arial"/>
          <w:sz w:val="20"/>
          <w:szCs w:val="20"/>
          <w:lang w:val="es-ES_tradnl" w:eastAsia="es-ES"/>
        </w:rPr>
        <w:t xml:space="preserve"> las controversias con su personal</w:t>
      </w:r>
      <w:r w:rsidR="002765AD">
        <w:rPr>
          <w:rFonts w:asciiTheme="majorHAnsi" w:hAnsiTheme="majorHAnsi" w:cs="Arial"/>
          <w:sz w:val="20"/>
          <w:szCs w:val="20"/>
          <w:lang w:val="es-ES_tradnl" w:eastAsia="es-ES"/>
        </w:rPr>
        <w:t>, y una</w:t>
      </w:r>
      <w:r w:rsidR="006A3022" w:rsidRPr="00A0451C">
        <w:rPr>
          <w:rFonts w:asciiTheme="majorHAnsi" w:hAnsiTheme="majorHAnsi" w:cs="Arial"/>
          <w:sz w:val="20"/>
          <w:szCs w:val="20"/>
          <w:lang w:val="es-ES_tradnl" w:eastAsia="es-ES"/>
        </w:rPr>
        <w:t xml:space="preserve"> opinión consultiva </w:t>
      </w:r>
      <w:r w:rsidR="002765AD">
        <w:rPr>
          <w:rFonts w:asciiTheme="majorHAnsi" w:hAnsiTheme="majorHAnsi" w:cs="Arial"/>
          <w:sz w:val="20"/>
          <w:szCs w:val="20"/>
          <w:lang w:val="es-ES_tradnl" w:eastAsia="es-ES"/>
        </w:rPr>
        <w:t xml:space="preserve">en la que </w:t>
      </w:r>
      <w:r w:rsidR="006A3022" w:rsidRPr="00A0451C">
        <w:rPr>
          <w:rFonts w:asciiTheme="majorHAnsi" w:hAnsiTheme="majorHAnsi" w:cs="Arial"/>
          <w:sz w:val="20"/>
          <w:szCs w:val="20"/>
          <w:lang w:val="es-ES_tradnl" w:eastAsia="es-ES"/>
        </w:rPr>
        <w:t xml:space="preserve">la Corte Centroamericana </w:t>
      </w:r>
      <w:r w:rsidR="002765AD">
        <w:rPr>
          <w:rFonts w:asciiTheme="majorHAnsi" w:hAnsiTheme="majorHAnsi" w:cs="Arial"/>
          <w:sz w:val="20"/>
          <w:szCs w:val="20"/>
          <w:lang w:val="es-ES_tradnl" w:eastAsia="es-ES"/>
        </w:rPr>
        <w:t xml:space="preserve">reafirma su </w:t>
      </w:r>
      <w:r w:rsidR="006A3022" w:rsidRPr="00506D99">
        <w:rPr>
          <w:rFonts w:asciiTheme="majorHAnsi" w:hAnsiTheme="majorHAnsi" w:cs="Arial"/>
          <w:sz w:val="20"/>
          <w:szCs w:val="20"/>
          <w:lang w:val="es-ES_tradnl" w:eastAsia="es-ES"/>
        </w:rPr>
        <w:t>competen</w:t>
      </w:r>
      <w:r w:rsidR="002765AD">
        <w:rPr>
          <w:rFonts w:asciiTheme="majorHAnsi" w:hAnsiTheme="majorHAnsi" w:cs="Arial"/>
          <w:sz w:val="20"/>
          <w:szCs w:val="20"/>
          <w:lang w:val="es-ES_tradnl" w:eastAsia="es-ES"/>
        </w:rPr>
        <w:t>cia</w:t>
      </w:r>
      <w:r w:rsidR="006A3022" w:rsidRPr="00506D99">
        <w:rPr>
          <w:rFonts w:asciiTheme="majorHAnsi" w:hAnsiTheme="majorHAnsi" w:cs="Arial"/>
          <w:sz w:val="20"/>
          <w:szCs w:val="20"/>
          <w:lang w:val="es-ES_tradnl" w:eastAsia="es-ES"/>
        </w:rPr>
        <w:t xml:space="preserve"> </w:t>
      </w:r>
      <w:r w:rsidR="00F24C18" w:rsidRPr="00506D99">
        <w:rPr>
          <w:rFonts w:asciiTheme="majorHAnsi" w:hAnsiTheme="majorHAnsi" w:cs="Arial"/>
          <w:sz w:val="20"/>
          <w:szCs w:val="20"/>
          <w:lang w:val="es-ES_tradnl" w:eastAsia="es-ES"/>
        </w:rPr>
        <w:t xml:space="preserve">en última instancia </w:t>
      </w:r>
      <w:r w:rsidR="002765AD">
        <w:rPr>
          <w:rFonts w:asciiTheme="majorHAnsi" w:hAnsiTheme="majorHAnsi" w:cs="Arial"/>
          <w:sz w:val="20"/>
          <w:szCs w:val="20"/>
          <w:lang w:val="es-ES_tradnl" w:eastAsia="es-ES"/>
        </w:rPr>
        <w:t xml:space="preserve">de </w:t>
      </w:r>
      <w:r w:rsidR="00F24C18" w:rsidRPr="00506D99">
        <w:rPr>
          <w:rFonts w:asciiTheme="majorHAnsi" w:hAnsiTheme="majorHAnsi" w:cs="Arial"/>
          <w:sz w:val="20"/>
          <w:szCs w:val="20"/>
          <w:lang w:val="es-ES_tradnl" w:eastAsia="es-ES"/>
        </w:rPr>
        <w:t xml:space="preserve">disputas relacionadas con resoluciones administrativas </w:t>
      </w:r>
      <w:r w:rsidR="002765AD">
        <w:rPr>
          <w:rFonts w:asciiTheme="majorHAnsi" w:hAnsiTheme="majorHAnsi" w:cs="Arial"/>
          <w:sz w:val="20"/>
          <w:szCs w:val="20"/>
          <w:lang w:val="es-ES_tradnl" w:eastAsia="es-ES"/>
        </w:rPr>
        <w:t xml:space="preserve">sobre el personal </w:t>
      </w:r>
      <w:r w:rsidR="00F24C18" w:rsidRPr="00506D99">
        <w:rPr>
          <w:rFonts w:asciiTheme="majorHAnsi" w:hAnsiTheme="majorHAnsi" w:cs="Arial"/>
          <w:sz w:val="20"/>
          <w:szCs w:val="20"/>
          <w:lang w:val="es-ES_tradnl" w:eastAsia="es-ES"/>
        </w:rPr>
        <w:t xml:space="preserve">de organismos del SICA. </w:t>
      </w:r>
    </w:p>
    <w:p w14:paraId="246821D2" w14:textId="77777777" w:rsidR="003F6E68" w:rsidRPr="00506D99" w:rsidRDefault="003F6E68" w:rsidP="00E20A73">
      <w:pPr>
        <w:pStyle w:val="Default"/>
        <w:spacing w:after="0" w:line="240" w:lineRule="auto"/>
        <w:ind w:left="720"/>
        <w:jc w:val="both"/>
        <w:rPr>
          <w:rFonts w:asciiTheme="majorHAnsi" w:hAnsiTheme="majorHAnsi" w:cs="Arial"/>
          <w:sz w:val="20"/>
          <w:szCs w:val="20"/>
          <w:lang w:val="es-ES_tradnl"/>
        </w:rPr>
      </w:pPr>
    </w:p>
    <w:p w14:paraId="76CE1289" w14:textId="324ECF45" w:rsidR="008028CA" w:rsidRPr="00506D99" w:rsidRDefault="003F6E68" w:rsidP="00E20A73">
      <w:pPr>
        <w:pStyle w:val="Default"/>
        <w:numPr>
          <w:ilvl w:val="0"/>
          <w:numId w:val="55"/>
        </w:numPr>
        <w:spacing w:after="0" w:line="240" w:lineRule="auto"/>
        <w:jc w:val="both"/>
        <w:rPr>
          <w:rFonts w:asciiTheme="majorHAnsi" w:hAnsiTheme="majorHAnsi" w:cs="Arial"/>
          <w:sz w:val="20"/>
          <w:szCs w:val="20"/>
          <w:lang w:val="es-ES_tradnl"/>
        </w:rPr>
      </w:pPr>
      <w:r w:rsidRPr="00506D99">
        <w:rPr>
          <w:rFonts w:asciiTheme="majorHAnsi" w:hAnsiTheme="majorHAnsi" w:cs="Arial"/>
          <w:sz w:val="20"/>
          <w:szCs w:val="20"/>
          <w:lang w:val="es-ES_tradnl" w:eastAsia="es-ES"/>
        </w:rPr>
        <w:t xml:space="preserve">Por </w:t>
      </w:r>
      <w:r w:rsidR="002765AD">
        <w:rPr>
          <w:rFonts w:asciiTheme="majorHAnsi" w:hAnsiTheme="majorHAnsi" w:cs="Arial"/>
          <w:sz w:val="20"/>
          <w:szCs w:val="20"/>
          <w:lang w:val="es-ES_tradnl" w:eastAsia="es-ES"/>
        </w:rPr>
        <w:t>su</w:t>
      </w:r>
      <w:r w:rsidRPr="00506D99">
        <w:rPr>
          <w:rFonts w:asciiTheme="majorHAnsi" w:hAnsiTheme="majorHAnsi" w:cs="Arial"/>
          <w:sz w:val="20"/>
          <w:szCs w:val="20"/>
          <w:lang w:val="es-ES_tradnl" w:eastAsia="es-ES"/>
        </w:rPr>
        <w:t xml:space="preserve"> parte, </w:t>
      </w:r>
      <w:r w:rsidR="008028CA" w:rsidRPr="00506D99">
        <w:rPr>
          <w:rFonts w:asciiTheme="majorHAnsi" w:hAnsiTheme="majorHAnsi" w:cs="Arial"/>
          <w:sz w:val="20"/>
          <w:szCs w:val="20"/>
          <w:lang w:val="es-ES_tradnl" w:eastAsia="es-ES"/>
        </w:rPr>
        <w:t>el peticionario</w:t>
      </w:r>
      <w:r w:rsidRPr="00506D99">
        <w:rPr>
          <w:rFonts w:asciiTheme="majorHAnsi" w:hAnsiTheme="majorHAnsi" w:cs="Arial"/>
          <w:sz w:val="20"/>
          <w:szCs w:val="20"/>
          <w:lang w:val="es-ES_tradnl" w:eastAsia="es-ES"/>
        </w:rPr>
        <w:t xml:space="preserve"> indica que a la presunta víctima no le era aplicable el procedimiento de mediación y arbitraje con apelación ante la Corte Centroamericana previsto en el Código de Servicios de COCESNA</w:t>
      </w:r>
      <w:r w:rsidR="00E90D99" w:rsidRPr="00506D99">
        <w:rPr>
          <w:rFonts w:asciiTheme="majorHAnsi" w:hAnsiTheme="majorHAnsi" w:cs="Arial"/>
          <w:sz w:val="20"/>
          <w:szCs w:val="20"/>
          <w:lang w:val="es-ES_tradnl" w:eastAsia="es-ES"/>
        </w:rPr>
        <w:t>,</w:t>
      </w:r>
      <w:r w:rsidRPr="00506D99">
        <w:rPr>
          <w:rFonts w:asciiTheme="majorHAnsi" w:hAnsiTheme="majorHAnsi" w:cs="Arial"/>
          <w:sz w:val="20"/>
          <w:szCs w:val="20"/>
          <w:lang w:val="es-ES_tradnl" w:eastAsia="es-ES"/>
        </w:rPr>
        <w:t xml:space="preserve"> porque este fue concebido para casos de investigaciones administrativas</w:t>
      </w:r>
      <w:r w:rsidR="002765AD">
        <w:rPr>
          <w:rFonts w:asciiTheme="majorHAnsi" w:hAnsiTheme="majorHAnsi" w:cs="Arial"/>
          <w:sz w:val="20"/>
          <w:szCs w:val="20"/>
          <w:lang w:val="es-ES_tradnl" w:eastAsia="es-ES"/>
        </w:rPr>
        <w:t xml:space="preserve"> y no de destitución</w:t>
      </w:r>
      <w:r w:rsidRPr="00506D99">
        <w:rPr>
          <w:rFonts w:asciiTheme="majorHAnsi" w:hAnsiTheme="majorHAnsi" w:cs="Arial"/>
          <w:sz w:val="20"/>
          <w:szCs w:val="20"/>
          <w:lang w:val="es-ES_tradnl" w:eastAsia="es-ES"/>
        </w:rPr>
        <w:t xml:space="preserve">. Sin embargo, </w:t>
      </w:r>
      <w:r w:rsidR="002765AD">
        <w:rPr>
          <w:rFonts w:asciiTheme="majorHAnsi" w:hAnsiTheme="majorHAnsi" w:cs="Arial"/>
          <w:sz w:val="20"/>
          <w:szCs w:val="20"/>
          <w:lang w:val="es-ES_tradnl" w:eastAsia="es-ES"/>
        </w:rPr>
        <w:t>el</w:t>
      </w:r>
      <w:r w:rsidRPr="00506D99">
        <w:rPr>
          <w:rFonts w:asciiTheme="majorHAnsi" w:hAnsiTheme="majorHAnsi" w:cs="Arial"/>
          <w:sz w:val="20"/>
          <w:szCs w:val="20"/>
          <w:lang w:val="es-ES_tradnl" w:eastAsia="es-ES"/>
        </w:rPr>
        <w:t xml:space="preserve"> argumento </w:t>
      </w:r>
      <w:r w:rsidR="002765AD">
        <w:rPr>
          <w:rFonts w:asciiTheme="majorHAnsi" w:hAnsiTheme="majorHAnsi" w:cs="Arial"/>
          <w:sz w:val="20"/>
          <w:szCs w:val="20"/>
          <w:lang w:val="es-ES_tradnl" w:eastAsia="es-ES"/>
        </w:rPr>
        <w:t xml:space="preserve">de </w:t>
      </w:r>
      <w:r w:rsidRPr="00506D99">
        <w:rPr>
          <w:rFonts w:asciiTheme="majorHAnsi" w:hAnsiTheme="majorHAnsi" w:cs="Arial"/>
          <w:sz w:val="20"/>
          <w:szCs w:val="20"/>
          <w:lang w:val="es-ES_tradnl" w:eastAsia="es-ES"/>
        </w:rPr>
        <w:t>que el supuesto de la presunta víctima no encaja en lo dispuesto en el artículo 22.</w:t>
      </w:r>
      <w:r w:rsidR="00E90D99" w:rsidRPr="00506D99">
        <w:rPr>
          <w:rFonts w:asciiTheme="majorHAnsi" w:hAnsiTheme="majorHAnsi" w:cs="Arial"/>
          <w:sz w:val="20"/>
          <w:szCs w:val="20"/>
          <w:lang w:val="es-ES_tradnl" w:eastAsia="es-ES"/>
        </w:rPr>
        <w:t>J</w:t>
      </w:r>
      <w:r w:rsidRPr="00506D99">
        <w:rPr>
          <w:rFonts w:asciiTheme="majorHAnsi" w:hAnsiTheme="majorHAnsi" w:cs="Arial"/>
          <w:sz w:val="20"/>
          <w:szCs w:val="20"/>
          <w:lang w:val="es-ES_tradnl" w:eastAsia="es-ES"/>
        </w:rPr>
        <w:t xml:space="preserve"> del Estatuto de la Corte Centroamericana no ha </w:t>
      </w:r>
      <w:r w:rsidR="002765AD">
        <w:rPr>
          <w:rFonts w:asciiTheme="majorHAnsi" w:hAnsiTheme="majorHAnsi" w:cs="Arial"/>
          <w:sz w:val="20"/>
          <w:szCs w:val="20"/>
          <w:lang w:val="es-ES_tradnl" w:eastAsia="es-ES"/>
        </w:rPr>
        <w:t xml:space="preserve">sido </w:t>
      </w:r>
      <w:r w:rsidRPr="00506D99">
        <w:rPr>
          <w:rFonts w:asciiTheme="majorHAnsi" w:hAnsiTheme="majorHAnsi" w:cs="Arial"/>
          <w:sz w:val="20"/>
          <w:szCs w:val="20"/>
          <w:lang w:val="es-ES_tradnl" w:eastAsia="es-ES"/>
        </w:rPr>
        <w:t xml:space="preserve">sustentado con claridad. </w:t>
      </w:r>
      <w:r w:rsidR="008028CA" w:rsidRPr="00506D99">
        <w:rPr>
          <w:rFonts w:asciiTheme="majorHAnsi" w:hAnsiTheme="majorHAnsi" w:cs="Arial"/>
          <w:sz w:val="20"/>
          <w:szCs w:val="20"/>
          <w:lang w:val="es-ES_tradnl" w:eastAsia="es-ES"/>
        </w:rPr>
        <w:t>El peticionario</w:t>
      </w:r>
      <w:r w:rsidR="00507164" w:rsidRPr="00506D99">
        <w:rPr>
          <w:rFonts w:asciiTheme="majorHAnsi" w:hAnsiTheme="majorHAnsi" w:cs="Arial"/>
          <w:sz w:val="20"/>
          <w:szCs w:val="20"/>
          <w:lang w:val="es-ES_tradnl" w:eastAsia="es-ES"/>
        </w:rPr>
        <w:t xml:space="preserve"> tampoco</w:t>
      </w:r>
      <w:r w:rsidRPr="00506D99">
        <w:rPr>
          <w:rFonts w:asciiTheme="majorHAnsi" w:hAnsiTheme="majorHAnsi" w:cs="Arial"/>
          <w:sz w:val="20"/>
          <w:szCs w:val="20"/>
          <w:lang w:val="es-ES_tradnl" w:eastAsia="es-ES"/>
        </w:rPr>
        <w:t xml:space="preserve"> ha presentado argumentos o elementos, ni surg</w:t>
      </w:r>
      <w:r w:rsidR="00507164" w:rsidRPr="00506D99">
        <w:rPr>
          <w:rFonts w:asciiTheme="majorHAnsi" w:hAnsiTheme="majorHAnsi" w:cs="Arial"/>
          <w:sz w:val="20"/>
          <w:szCs w:val="20"/>
          <w:lang w:val="es-ES_tradnl" w:eastAsia="es-ES"/>
        </w:rPr>
        <w:t xml:space="preserve">en del expediente, que la apelación ante la Corte Centroamericana no hubiese sido un mecanismo idóneo para que la presunta víctima obtuviera reparación por las alegadas vulneraciones a sus derechos laborales. </w:t>
      </w:r>
      <w:r w:rsidR="008028CA" w:rsidRPr="00506D99">
        <w:rPr>
          <w:rFonts w:asciiTheme="majorHAnsi" w:hAnsiTheme="majorHAnsi" w:cs="Arial"/>
          <w:sz w:val="20"/>
          <w:szCs w:val="20"/>
          <w:lang w:val="es-ES_tradnl" w:eastAsia="es-ES"/>
        </w:rPr>
        <w:t>Además</w:t>
      </w:r>
      <w:r w:rsidR="00507164" w:rsidRPr="00506D99">
        <w:rPr>
          <w:rFonts w:asciiTheme="majorHAnsi" w:hAnsiTheme="majorHAnsi" w:cs="Arial"/>
          <w:sz w:val="20"/>
          <w:szCs w:val="20"/>
          <w:lang w:val="es-ES_tradnl" w:eastAsia="es-ES"/>
        </w:rPr>
        <w:t xml:space="preserve">, no ha </w:t>
      </w:r>
      <w:r w:rsidR="008028CA" w:rsidRPr="00506D99">
        <w:rPr>
          <w:rFonts w:asciiTheme="majorHAnsi" w:hAnsiTheme="majorHAnsi" w:cs="Arial"/>
          <w:sz w:val="20"/>
          <w:szCs w:val="20"/>
          <w:lang w:val="es-ES_tradnl" w:eastAsia="es-ES"/>
        </w:rPr>
        <w:t xml:space="preserve">alegado ni se observa que </w:t>
      </w:r>
      <w:r w:rsidR="002765AD">
        <w:rPr>
          <w:rFonts w:asciiTheme="majorHAnsi" w:hAnsiTheme="majorHAnsi" w:cs="Arial"/>
          <w:sz w:val="20"/>
          <w:szCs w:val="20"/>
          <w:lang w:val="es-ES_tradnl" w:eastAsia="es-ES"/>
        </w:rPr>
        <w:t>a la presunta víctima</w:t>
      </w:r>
      <w:r w:rsidR="008028CA" w:rsidRPr="00506D99">
        <w:rPr>
          <w:rFonts w:asciiTheme="majorHAnsi" w:hAnsiTheme="majorHAnsi" w:cs="Arial"/>
          <w:sz w:val="20"/>
          <w:szCs w:val="20"/>
          <w:lang w:val="es-ES_tradnl" w:eastAsia="es-ES"/>
        </w:rPr>
        <w:t xml:space="preserve"> se le </w:t>
      </w:r>
      <w:r w:rsidR="002765AD">
        <w:rPr>
          <w:rFonts w:asciiTheme="majorHAnsi" w:hAnsiTheme="majorHAnsi" w:cs="Arial"/>
          <w:sz w:val="20"/>
          <w:szCs w:val="20"/>
          <w:lang w:val="es-ES_tradnl" w:eastAsia="es-ES"/>
        </w:rPr>
        <w:t>hubiera</w:t>
      </w:r>
      <w:r w:rsidR="008028CA" w:rsidRPr="00506D99">
        <w:rPr>
          <w:rFonts w:asciiTheme="majorHAnsi" w:hAnsiTheme="majorHAnsi" w:cs="Arial"/>
          <w:sz w:val="20"/>
          <w:szCs w:val="20"/>
          <w:lang w:val="es-ES_tradnl" w:eastAsia="es-ES"/>
        </w:rPr>
        <w:t xml:space="preserve"> impedido el acceso al recurso ante la </w:t>
      </w:r>
      <w:r w:rsidR="00507164" w:rsidRPr="00506D99">
        <w:rPr>
          <w:rFonts w:asciiTheme="majorHAnsi" w:hAnsiTheme="majorHAnsi" w:cs="Arial"/>
          <w:sz w:val="20"/>
          <w:szCs w:val="20"/>
          <w:lang w:val="es-ES_tradnl" w:eastAsia="es-ES"/>
        </w:rPr>
        <w:t xml:space="preserve">Corte Centroamericana de Justicia. </w:t>
      </w:r>
    </w:p>
    <w:p w14:paraId="3DFEF028" w14:textId="18889983" w:rsidR="008028CA" w:rsidRDefault="008028CA" w:rsidP="00E20A73">
      <w:pPr>
        <w:pStyle w:val="Default"/>
        <w:spacing w:after="0" w:line="240" w:lineRule="auto"/>
        <w:jc w:val="both"/>
        <w:rPr>
          <w:rFonts w:asciiTheme="majorHAnsi" w:hAnsiTheme="majorHAnsi" w:cs="Arial"/>
          <w:sz w:val="20"/>
          <w:szCs w:val="20"/>
          <w:lang w:val="es-ES_tradnl"/>
        </w:rPr>
      </w:pPr>
    </w:p>
    <w:p w14:paraId="0A701E6B" w14:textId="0CA46DFD" w:rsidR="00507164" w:rsidRDefault="000A4A88" w:rsidP="00A233B1">
      <w:pPr>
        <w:pStyle w:val="Default"/>
        <w:numPr>
          <w:ilvl w:val="0"/>
          <w:numId w:val="55"/>
        </w:numPr>
        <w:spacing w:after="0" w:line="240" w:lineRule="auto"/>
        <w:jc w:val="both"/>
        <w:rPr>
          <w:rFonts w:asciiTheme="majorHAnsi" w:hAnsiTheme="majorHAnsi" w:cs="Arial"/>
          <w:sz w:val="20"/>
          <w:szCs w:val="20"/>
          <w:lang w:val="es-ES_tradnl"/>
        </w:rPr>
      </w:pPr>
      <w:r w:rsidRPr="00AB348D">
        <w:rPr>
          <w:rFonts w:asciiTheme="majorHAnsi" w:hAnsiTheme="majorHAnsi" w:cs="Arial"/>
          <w:sz w:val="20"/>
          <w:szCs w:val="20"/>
          <w:lang w:val="es-ES_tradnl"/>
        </w:rPr>
        <w:t>Por otro lado, la Comisión Interamericana considera que los tribunales internos atendieron todos los recursos judiciales interpuestos por la presunta víctima</w:t>
      </w:r>
      <w:r w:rsidR="00B01D4E" w:rsidRPr="00AB348D">
        <w:rPr>
          <w:rFonts w:asciiTheme="majorHAnsi" w:hAnsiTheme="majorHAnsi" w:cs="Arial"/>
          <w:sz w:val="20"/>
          <w:szCs w:val="20"/>
          <w:lang w:val="es-ES_tradnl"/>
        </w:rPr>
        <w:t>,</w:t>
      </w:r>
      <w:r w:rsidRPr="00AB348D">
        <w:rPr>
          <w:rFonts w:asciiTheme="majorHAnsi" w:hAnsiTheme="majorHAnsi" w:cs="Arial"/>
          <w:sz w:val="20"/>
          <w:szCs w:val="20"/>
          <w:lang w:val="es-ES_tradnl"/>
        </w:rPr>
        <w:t xml:space="preserve"> y </w:t>
      </w:r>
      <w:r w:rsidR="00B01D4E" w:rsidRPr="00AB348D">
        <w:rPr>
          <w:rFonts w:asciiTheme="majorHAnsi" w:hAnsiTheme="majorHAnsi" w:cs="Arial"/>
          <w:sz w:val="20"/>
          <w:szCs w:val="20"/>
          <w:lang w:val="es-ES_tradnl"/>
        </w:rPr>
        <w:t xml:space="preserve">que </w:t>
      </w:r>
      <w:r w:rsidRPr="00AB348D">
        <w:rPr>
          <w:rFonts w:asciiTheme="majorHAnsi" w:hAnsiTheme="majorHAnsi" w:cs="Arial"/>
          <w:sz w:val="20"/>
          <w:szCs w:val="20"/>
          <w:lang w:val="es-ES_tradnl"/>
        </w:rPr>
        <w:t>en todas las instancias dieron una respuesta jurídica a sus reclamos, dentro de un plazo razonable</w:t>
      </w:r>
      <w:r w:rsidR="00B01D4E" w:rsidRPr="00AB348D">
        <w:rPr>
          <w:rFonts w:asciiTheme="majorHAnsi" w:hAnsiTheme="majorHAnsi" w:cs="Arial"/>
          <w:sz w:val="20"/>
          <w:szCs w:val="20"/>
          <w:lang w:val="es-ES_tradnl"/>
        </w:rPr>
        <w:t>. No se</w:t>
      </w:r>
      <w:r w:rsidRPr="00AB348D">
        <w:rPr>
          <w:rFonts w:asciiTheme="majorHAnsi" w:hAnsiTheme="majorHAnsi" w:cs="Arial"/>
          <w:sz w:val="20"/>
          <w:szCs w:val="20"/>
          <w:lang w:val="es-ES_tradnl"/>
        </w:rPr>
        <w:t xml:space="preserve"> aleg</w:t>
      </w:r>
      <w:r w:rsidR="00B01D4E" w:rsidRPr="00AB348D">
        <w:rPr>
          <w:rFonts w:asciiTheme="majorHAnsi" w:hAnsiTheme="majorHAnsi" w:cs="Arial"/>
          <w:sz w:val="20"/>
          <w:szCs w:val="20"/>
          <w:lang w:val="es-ES_tradnl"/>
        </w:rPr>
        <w:t>an</w:t>
      </w:r>
      <w:r w:rsidRPr="00AB348D">
        <w:rPr>
          <w:rFonts w:asciiTheme="majorHAnsi" w:hAnsiTheme="majorHAnsi" w:cs="Arial"/>
          <w:sz w:val="20"/>
          <w:szCs w:val="20"/>
          <w:lang w:val="es-ES_tradnl"/>
        </w:rPr>
        <w:t xml:space="preserve"> </w:t>
      </w:r>
      <w:r w:rsidR="00B01D4E" w:rsidRPr="00AB348D">
        <w:rPr>
          <w:rFonts w:asciiTheme="majorHAnsi" w:hAnsiTheme="majorHAnsi" w:cs="Arial"/>
          <w:sz w:val="20"/>
          <w:szCs w:val="20"/>
          <w:lang w:val="es-ES_tradnl"/>
        </w:rPr>
        <w:t>ni se</w:t>
      </w:r>
      <w:r w:rsidRPr="00AB348D">
        <w:rPr>
          <w:rFonts w:asciiTheme="majorHAnsi" w:hAnsiTheme="majorHAnsi" w:cs="Arial"/>
          <w:sz w:val="20"/>
          <w:szCs w:val="20"/>
          <w:lang w:val="es-ES_tradnl"/>
        </w:rPr>
        <w:t xml:space="preserve"> observ</w:t>
      </w:r>
      <w:r w:rsidR="00B01D4E" w:rsidRPr="00AB348D">
        <w:rPr>
          <w:rFonts w:asciiTheme="majorHAnsi" w:hAnsiTheme="majorHAnsi" w:cs="Arial"/>
          <w:sz w:val="20"/>
          <w:szCs w:val="20"/>
          <w:lang w:val="es-ES_tradnl"/>
        </w:rPr>
        <w:t>a</w:t>
      </w:r>
      <w:r w:rsidRPr="00AB348D">
        <w:rPr>
          <w:rFonts w:asciiTheme="majorHAnsi" w:hAnsiTheme="majorHAnsi" w:cs="Arial"/>
          <w:sz w:val="20"/>
          <w:szCs w:val="20"/>
          <w:lang w:val="es-ES_tradnl"/>
        </w:rPr>
        <w:t xml:space="preserve">n actuaciones que </w:t>
      </w:r>
      <w:r w:rsidRPr="00AB348D">
        <w:rPr>
          <w:rFonts w:asciiTheme="majorHAnsi" w:hAnsiTheme="majorHAnsi" w:cs="Arial"/>
          <w:i/>
          <w:iCs/>
          <w:sz w:val="20"/>
          <w:szCs w:val="20"/>
          <w:lang w:val="es-ES_tradnl"/>
        </w:rPr>
        <w:t>prima facie</w:t>
      </w:r>
      <w:r w:rsidRPr="00AB348D">
        <w:rPr>
          <w:rFonts w:asciiTheme="majorHAnsi" w:hAnsiTheme="majorHAnsi" w:cs="Arial"/>
          <w:sz w:val="20"/>
          <w:szCs w:val="20"/>
          <w:lang w:val="es-ES_tradnl"/>
        </w:rPr>
        <w:t xml:space="preserve"> </w:t>
      </w:r>
      <w:r w:rsidR="00B01D4E" w:rsidRPr="00AB348D">
        <w:rPr>
          <w:rFonts w:asciiTheme="majorHAnsi" w:hAnsiTheme="majorHAnsi" w:cs="Arial"/>
          <w:sz w:val="20"/>
          <w:szCs w:val="20"/>
          <w:lang w:val="es-ES_tradnl"/>
        </w:rPr>
        <w:t xml:space="preserve">podrían </w:t>
      </w:r>
      <w:r w:rsidRPr="00AB348D">
        <w:rPr>
          <w:rFonts w:asciiTheme="majorHAnsi" w:hAnsiTheme="majorHAnsi" w:cs="Arial"/>
          <w:sz w:val="20"/>
          <w:szCs w:val="20"/>
          <w:lang w:val="es-ES_tradnl"/>
        </w:rPr>
        <w:t xml:space="preserve">ser violatorias de los derechos establecidos en la Convención Americana. </w:t>
      </w:r>
    </w:p>
    <w:p w14:paraId="1B1C4D77" w14:textId="77777777" w:rsidR="00AB348D" w:rsidRPr="00506D99" w:rsidRDefault="00AB348D" w:rsidP="00AB348D">
      <w:pPr>
        <w:pStyle w:val="Default"/>
        <w:spacing w:after="0" w:line="240" w:lineRule="auto"/>
        <w:ind w:left="720"/>
        <w:jc w:val="both"/>
        <w:rPr>
          <w:rFonts w:asciiTheme="majorHAnsi" w:hAnsiTheme="majorHAnsi" w:cs="Arial"/>
          <w:sz w:val="20"/>
          <w:szCs w:val="20"/>
          <w:lang w:val="es-ES_tradnl"/>
        </w:rPr>
      </w:pPr>
    </w:p>
    <w:p w14:paraId="4DBD7F62" w14:textId="27D49DCE" w:rsidR="00507164" w:rsidRPr="00506D99" w:rsidRDefault="00507164" w:rsidP="00E20A73">
      <w:pPr>
        <w:pStyle w:val="Default"/>
        <w:numPr>
          <w:ilvl w:val="0"/>
          <w:numId w:val="55"/>
        </w:numPr>
        <w:spacing w:after="0" w:line="240" w:lineRule="auto"/>
        <w:jc w:val="both"/>
        <w:rPr>
          <w:rFonts w:asciiTheme="majorHAnsi" w:hAnsiTheme="majorHAnsi" w:cs="Arial"/>
          <w:sz w:val="20"/>
          <w:szCs w:val="20"/>
          <w:lang w:val="es-ES_tradnl"/>
        </w:rPr>
      </w:pPr>
      <w:r w:rsidRPr="00506D99">
        <w:rPr>
          <w:rFonts w:asciiTheme="majorHAnsi" w:hAnsiTheme="majorHAnsi" w:cs="Arial"/>
          <w:sz w:val="20"/>
          <w:szCs w:val="20"/>
          <w:lang w:val="es-ES_tradnl"/>
        </w:rPr>
        <w:t xml:space="preserve">Por las razones expuestas, la Comisión </w:t>
      </w:r>
      <w:r w:rsidR="000A4A88" w:rsidRPr="00506D99">
        <w:rPr>
          <w:rFonts w:asciiTheme="majorHAnsi" w:hAnsiTheme="majorHAnsi" w:cs="Arial"/>
          <w:sz w:val="20"/>
          <w:szCs w:val="20"/>
          <w:lang w:val="es-ES_tradnl"/>
        </w:rPr>
        <w:t>concluye</w:t>
      </w:r>
      <w:r w:rsidRPr="00506D99">
        <w:rPr>
          <w:rFonts w:asciiTheme="majorHAnsi" w:hAnsiTheme="majorHAnsi" w:cs="Arial"/>
          <w:sz w:val="20"/>
          <w:szCs w:val="20"/>
          <w:lang w:val="es-ES_tradnl"/>
        </w:rPr>
        <w:t xml:space="preserve"> que la presente petición no cumple con </w:t>
      </w:r>
      <w:r w:rsidR="000A4A88" w:rsidRPr="00506D99">
        <w:rPr>
          <w:rFonts w:asciiTheme="majorHAnsi" w:hAnsiTheme="majorHAnsi" w:cs="Arial"/>
          <w:sz w:val="20"/>
          <w:szCs w:val="20"/>
          <w:lang w:val="es-ES_tradnl"/>
        </w:rPr>
        <w:t>el</w:t>
      </w:r>
      <w:r w:rsidRPr="00506D99">
        <w:rPr>
          <w:rFonts w:asciiTheme="majorHAnsi" w:hAnsiTheme="majorHAnsi" w:cs="Arial"/>
          <w:sz w:val="20"/>
          <w:szCs w:val="20"/>
          <w:lang w:val="es-ES_tradnl"/>
        </w:rPr>
        <w:t xml:space="preserve"> requisito del artículo 46.1</w:t>
      </w:r>
      <w:r w:rsidR="0001561E">
        <w:rPr>
          <w:rFonts w:asciiTheme="majorHAnsi" w:hAnsiTheme="majorHAnsi" w:cs="Arial"/>
          <w:sz w:val="20"/>
          <w:szCs w:val="20"/>
          <w:lang w:val="es-ES_tradnl"/>
        </w:rPr>
        <w:t>(</w:t>
      </w:r>
      <w:r w:rsidRPr="00506D99">
        <w:rPr>
          <w:rFonts w:asciiTheme="majorHAnsi" w:hAnsiTheme="majorHAnsi" w:cs="Arial"/>
          <w:sz w:val="20"/>
          <w:szCs w:val="20"/>
          <w:lang w:val="es-ES_tradnl"/>
        </w:rPr>
        <w:t>a) de la Convención Americana</w:t>
      </w:r>
      <w:r w:rsidR="00D44723" w:rsidRPr="00506D99">
        <w:rPr>
          <w:rFonts w:asciiTheme="majorHAnsi" w:hAnsiTheme="majorHAnsi" w:cs="Arial"/>
          <w:sz w:val="20"/>
          <w:szCs w:val="20"/>
          <w:lang w:val="es-ES_tradnl"/>
        </w:rPr>
        <w:t xml:space="preserve">. </w:t>
      </w:r>
      <w:r w:rsidRPr="00506D99">
        <w:rPr>
          <w:rFonts w:asciiTheme="majorHAnsi" w:hAnsiTheme="majorHAnsi" w:cs="Arial"/>
          <w:sz w:val="20"/>
          <w:szCs w:val="20"/>
          <w:lang w:val="es-ES_tradnl"/>
        </w:rPr>
        <w:t xml:space="preserve"> </w:t>
      </w:r>
    </w:p>
    <w:p w14:paraId="0B6BF156" w14:textId="508E8468" w:rsidR="0037742A" w:rsidRPr="00506D99" w:rsidRDefault="0037742A" w:rsidP="00E20A73">
      <w:pPr>
        <w:pStyle w:val="Default"/>
        <w:spacing w:after="0" w:line="240" w:lineRule="auto"/>
        <w:ind w:left="720"/>
        <w:rPr>
          <w:rFonts w:asciiTheme="majorHAnsi" w:hAnsiTheme="majorHAnsi"/>
          <w:b/>
          <w:bCs/>
          <w:color w:val="auto"/>
          <w:sz w:val="20"/>
          <w:szCs w:val="20"/>
          <w:lang w:val="es-ES_tradnl"/>
        </w:rPr>
      </w:pPr>
      <w:r w:rsidRPr="00506D99">
        <w:rPr>
          <w:rFonts w:asciiTheme="majorHAnsi" w:hAnsiTheme="majorHAnsi"/>
          <w:b/>
          <w:bCs/>
          <w:sz w:val="20"/>
          <w:szCs w:val="20"/>
          <w:lang w:val="es-ES_tradnl"/>
        </w:rPr>
        <w:lastRenderedPageBreak/>
        <w:t>VII.</w:t>
      </w:r>
      <w:r w:rsidRPr="00506D99">
        <w:rPr>
          <w:rFonts w:asciiTheme="majorHAnsi" w:hAnsiTheme="majorHAnsi"/>
          <w:b/>
          <w:bCs/>
          <w:sz w:val="20"/>
          <w:szCs w:val="20"/>
          <w:lang w:val="es-ES_tradnl"/>
        </w:rPr>
        <w:tab/>
      </w:r>
      <w:r w:rsidRPr="00506D99">
        <w:rPr>
          <w:rFonts w:asciiTheme="majorHAnsi" w:hAnsiTheme="majorHAnsi"/>
          <w:b/>
          <w:bCs/>
          <w:color w:val="auto"/>
          <w:sz w:val="20"/>
          <w:szCs w:val="20"/>
          <w:lang w:val="es-ES_tradnl"/>
        </w:rPr>
        <w:t>DECISIÓN</w:t>
      </w:r>
    </w:p>
    <w:p w14:paraId="067A6473" w14:textId="77777777" w:rsidR="000A4A88" w:rsidRPr="00506D99" w:rsidRDefault="000A4A88" w:rsidP="00E20A73">
      <w:pPr>
        <w:pStyle w:val="Default"/>
        <w:spacing w:after="0" w:line="240" w:lineRule="auto"/>
        <w:ind w:left="720"/>
        <w:rPr>
          <w:rFonts w:asciiTheme="majorHAnsi" w:hAnsiTheme="majorHAnsi"/>
          <w:b/>
          <w:bCs/>
          <w:color w:val="auto"/>
          <w:sz w:val="20"/>
          <w:szCs w:val="20"/>
          <w:lang w:val="es-ES_tradnl"/>
        </w:rPr>
      </w:pPr>
    </w:p>
    <w:p w14:paraId="47162D9C" w14:textId="775D826C" w:rsidR="0037742A" w:rsidRDefault="0037742A" w:rsidP="00E20A73">
      <w:pPr>
        <w:numPr>
          <w:ilvl w:val="0"/>
          <w:numId w:val="61"/>
        </w:numPr>
        <w:suppressAutoHyphens/>
        <w:spacing w:after="0" w:line="240" w:lineRule="auto"/>
        <w:jc w:val="both"/>
        <w:rPr>
          <w:rFonts w:asciiTheme="majorHAnsi" w:hAnsiTheme="majorHAnsi"/>
          <w:sz w:val="20"/>
          <w:szCs w:val="20"/>
          <w:lang w:val="es-ES_tradnl"/>
        </w:rPr>
      </w:pPr>
      <w:r w:rsidRPr="00506D99">
        <w:rPr>
          <w:rFonts w:asciiTheme="majorHAnsi" w:hAnsiTheme="majorHAnsi"/>
          <w:sz w:val="20"/>
          <w:szCs w:val="20"/>
          <w:lang w:val="es-ES_tradnl"/>
        </w:rPr>
        <w:t xml:space="preserve">Declarar </w:t>
      </w:r>
      <w:r w:rsidR="00D44723" w:rsidRPr="00506D99">
        <w:rPr>
          <w:rFonts w:asciiTheme="majorHAnsi" w:hAnsiTheme="majorHAnsi"/>
          <w:sz w:val="20"/>
          <w:szCs w:val="20"/>
          <w:lang w:val="es-ES_tradnl"/>
        </w:rPr>
        <w:t>inadmisible la presente petición con fundamento en los artículos 46.1(a) y 47(a) de la Convención Americana</w:t>
      </w:r>
      <w:r w:rsidR="002900D2">
        <w:rPr>
          <w:rFonts w:asciiTheme="majorHAnsi" w:hAnsiTheme="majorHAnsi"/>
          <w:sz w:val="20"/>
          <w:szCs w:val="20"/>
          <w:lang w:val="es-ES_tradnl"/>
        </w:rPr>
        <w:t>, y;</w:t>
      </w:r>
    </w:p>
    <w:p w14:paraId="508DC1FC" w14:textId="77777777" w:rsidR="0001561E" w:rsidRPr="00506D99" w:rsidRDefault="0001561E" w:rsidP="00E20A73">
      <w:pPr>
        <w:suppressAutoHyphens/>
        <w:spacing w:after="0" w:line="240" w:lineRule="auto"/>
        <w:jc w:val="both"/>
        <w:rPr>
          <w:rFonts w:asciiTheme="majorHAnsi" w:hAnsiTheme="majorHAnsi"/>
          <w:sz w:val="20"/>
          <w:szCs w:val="20"/>
          <w:lang w:val="es-ES_tradnl"/>
        </w:rPr>
      </w:pPr>
    </w:p>
    <w:p w14:paraId="0FB58CA1" w14:textId="354C52BE" w:rsidR="0037742A" w:rsidRDefault="0037742A" w:rsidP="00E20A73">
      <w:pPr>
        <w:numPr>
          <w:ilvl w:val="0"/>
          <w:numId w:val="61"/>
        </w:numPr>
        <w:suppressAutoHyphens/>
        <w:spacing w:after="0" w:line="240" w:lineRule="auto"/>
        <w:jc w:val="both"/>
        <w:rPr>
          <w:rFonts w:asciiTheme="majorHAnsi" w:hAnsiTheme="majorHAnsi"/>
          <w:sz w:val="20"/>
          <w:szCs w:val="20"/>
          <w:lang w:val="es-ES"/>
        </w:rPr>
      </w:pPr>
      <w:r w:rsidRPr="00506D99">
        <w:rPr>
          <w:rFonts w:asciiTheme="majorHAnsi" w:hAnsiTheme="majorHAnsi"/>
          <w:sz w:val="20"/>
          <w:szCs w:val="20"/>
          <w:lang w:val="es-ES_tradnl"/>
        </w:rPr>
        <w:t>Notificar a las partes la presente decisión; publicar esta decisión e incluirla en su Informe Anual a la Asamblea General de la O</w:t>
      </w:r>
      <w:r w:rsidRPr="003D2ABC">
        <w:rPr>
          <w:rFonts w:asciiTheme="majorHAnsi" w:hAnsiTheme="majorHAnsi"/>
          <w:sz w:val="20"/>
          <w:szCs w:val="20"/>
          <w:lang w:val="es-ES"/>
        </w:rPr>
        <w:t>rganización de los Estados Americanos.</w:t>
      </w:r>
    </w:p>
    <w:p w14:paraId="5C7A7CF6" w14:textId="77777777" w:rsidR="002900D2" w:rsidRDefault="002900D2" w:rsidP="005E429F">
      <w:pPr>
        <w:pStyle w:val="ListParagraph"/>
        <w:spacing w:after="0" w:line="240" w:lineRule="auto"/>
        <w:rPr>
          <w:rFonts w:asciiTheme="majorHAnsi" w:hAnsiTheme="majorHAnsi"/>
          <w:sz w:val="20"/>
          <w:szCs w:val="20"/>
          <w:lang w:val="es-ES"/>
        </w:rPr>
      </w:pPr>
    </w:p>
    <w:p w14:paraId="48C00775" w14:textId="57D4CD2A" w:rsidR="00597A25" w:rsidRPr="00C94ABE" w:rsidRDefault="00354B00" w:rsidP="00C94ABE">
      <w:pPr>
        <w:suppressAutoHyphens/>
        <w:spacing w:after="0" w:line="240" w:lineRule="auto"/>
        <w:ind w:firstLine="720"/>
        <w:jc w:val="both"/>
        <w:rPr>
          <w:rFonts w:ascii="Cambria" w:hAnsi="Cambria"/>
          <w:color w:val="000000"/>
          <w:sz w:val="20"/>
          <w:szCs w:val="20"/>
          <w:shd w:val="clear" w:color="auto" w:fill="FFFFFF"/>
        </w:rPr>
      </w:pPr>
      <w:r>
        <w:rPr>
          <w:rStyle w:val="normaltextrun"/>
          <w:rFonts w:ascii="Cambria" w:hAnsi="Cambria"/>
          <w:color w:val="000000"/>
          <w:sz w:val="20"/>
          <w:szCs w:val="20"/>
          <w:shd w:val="clear" w:color="auto" w:fill="FFFFFF"/>
          <w:lang w:val="es-CL"/>
        </w:rPr>
        <w:t xml:space="preserve">Aprobado por la Comisión Interamericana de Derechos Humanos a los 9 días del mes de mayo de 2022.  (Firmado): Julissa Mantilla Falcón, Presidenta; Esmeralda E. Arosemena Bernal de Troitiño, Roberta Clarke y Carlos Bernal Pulido, </w:t>
      </w:r>
      <w:r w:rsidR="00C94ABE">
        <w:rPr>
          <w:rStyle w:val="normaltextrun"/>
          <w:rFonts w:ascii="Cambria" w:hAnsi="Cambria"/>
          <w:color w:val="000000"/>
          <w:sz w:val="20"/>
          <w:szCs w:val="20"/>
          <w:shd w:val="clear" w:color="auto" w:fill="FFFFFF"/>
          <w:lang w:val="es-CL"/>
        </w:rPr>
        <w:t>m</w:t>
      </w:r>
      <w:r>
        <w:rPr>
          <w:rStyle w:val="normaltextrun"/>
          <w:rFonts w:ascii="Cambria" w:hAnsi="Cambria"/>
          <w:color w:val="000000"/>
          <w:sz w:val="20"/>
          <w:szCs w:val="20"/>
          <w:shd w:val="clear" w:color="auto" w:fill="FFFFFF"/>
          <w:lang w:val="es-CL"/>
        </w:rPr>
        <w:t xml:space="preserve">iembros de la Comisión. </w:t>
      </w:r>
      <w:r>
        <w:rPr>
          <w:rStyle w:val="eop"/>
          <w:rFonts w:ascii="Cambria" w:hAnsi="Cambria"/>
          <w:color w:val="000000"/>
          <w:sz w:val="20"/>
          <w:szCs w:val="20"/>
          <w:shd w:val="clear" w:color="auto" w:fill="FFFFFF"/>
        </w:rPr>
        <w:t> </w:t>
      </w:r>
    </w:p>
    <w:sectPr w:rsidR="00597A25" w:rsidRPr="00C94ABE"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2DD0" w14:textId="77777777" w:rsidR="00106B82" w:rsidRDefault="00106B82">
      <w:r>
        <w:separator/>
      </w:r>
    </w:p>
  </w:endnote>
  <w:endnote w:type="continuationSeparator" w:id="0">
    <w:p w14:paraId="08B1B7F6" w14:textId="77777777" w:rsidR="00106B82" w:rsidRDefault="00106B82">
      <w:r>
        <w:continuationSeparator/>
      </w:r>
    </w:p>
  </w:endnote>
  <w:endnote w:type="continuationNotice" w:id="1">
    <w:p w14:paraId="6A9C3355" w14:textId="77777777" w:rsidR="00106B82" w:rsidRDefault="0010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9E9" w14:textId="1A8EE87B" w:rsidR="00DF4939" w:rsidRPr="00934A2C" w:rsidRDefault="00DF4939">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sidR="00D44723">
      <w:rPr>
        <w:noProof/>
        <w:sz w:val="16"/>
      </w:rPr>
      <w:t>5</w:t>
    </w:r>
    <w:r w:rsidRPr="00934A2C">
      <w:rPr>
        <w:sz w:val="16"/>
      </w:rPr>
      <w:fldChar w:fldCharType="end"/>
    </w:r>
  </w:p>
  <w:p w14:paraId="2DADABF4" w14:textId="77777777" w:rsidR="00DF4939" w:rsidRDefault="00DF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50EF" w14:textId="77777777" w:rsidR="00DF4939" w:rsidRPr="00934A2C" w:rsidRDefault="00DF4939">
    <w:pPr>
      <w:pStyle w:val="Footer"/>
      <w:jc w:val="center"/>
      <w:rPr>
        <w:sz w:val="16"/>
      </w:rPr>
    </w:pPr>
  </w:p>
  <w:p w14:paraId="5C4DE85E" w14:textId="77777777" w:rsidR="00DF4939" w:rsidRDefault="00DF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53D1" w14:textId="77777777" w:rsidR="00106B82" w:rsidRPr="003B6DA0" w:rsidRDefault="00106B82" w:rsidP="003B6DA0">
      <w:pPr>
        <w:pStyle w:val="Footer"/>
      </w:pPr>
      <w:r>
        <w:separator/>
      </w:r>
    </w:p>
  </w:footnote>
  <w:footnote w:type="continuationSeparator" w:id="0">
    <w:p w14:paraId="3CC4A2B5" w14:textId="77777777" w:rsidR="00106B82" w:rsidRPr="000F35ED" w:rsidRDefault="00106B82" w:rsidP="000F35ED">
      <w:pPr>
        <w:rPr>
          <w:rFonts w:ascii="Cambria" w:hAnsi="Cambria"/>
          <w:sz w:val="16"/>
          <w:szCs w:val="16"/>
        </w:rPr>
      </w:pPr>
      <w:r w:rsidRPr="000F35ED">
        <w:rPr>
          <w:rFonts w:ascii="Cambria" w:hAnsi="Cambria"/>
          <w:sz w:val="16"/>
          <w:szCs w:val="16"/>
        </w:rPr>
        <w:separator/>
      </w:r>
    </w:p>
    <w:p w14:paraId="5EA2D670" w14:textId="77777777" w:rsidR="00106B82" w:rsidRPr="000F35ED" w:rsidRDefault="00106B82" w:rsidP="000F35ED">
      <w:pPr>
        <w:pStyle w:val="Footer"/>
        <w:rPr>
          <w:sz w:val="16"/>
          <w:szCs w:val="16"/>
        </w:rPr>
      </w:pPr>
      <w:r>
        <w:rPr>
          <w:sz w:val="16"/>
          <w:szCs w:val="16"/>
        </w:rPr>
        <w:t>[… c</w:t>
      </w:r>
      <w:r w:rsidRPr="000F35ED">
        <w:rPr>
          <w:sz w:val="16"/>
          <w:szCs w:val="16"/>
        </w:rPr>
        <w:t>ontinuación</w:t>
      </w:r>
      <w:r>
        <w:rPr>
          <w:sz w:val="16"/>
          <w:szCs w:val="16"/>
        </w:rPr>
        <w:t>]</w:t>
      </w:r>
    </w:p>
  </w:footnote>
  <w:footnote w:type="continuationNotice" w:id="1">
    <w:p w14:paraId="0EBF9F11" w14:textId="77777777" w:rsidR="00106B82" w:rsidRPr="000F35ED" w:rsidRDefault="00106B82" w:rsidP="000F35ED">
      <w:pP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2AE69288" w14:textId="3EEF2721" w:rsidR="00DF4939" w:rsidRPr="00011667" w:rsidRDefault="00DF4939" w:rsidP="00042F90">
      <w:pPr>
        <w:spacing w:after="0" w:line="240" w:lineRule="auto"/>
        <w:ind w:firstLine="720"/>
        <w:jc w:val="both"/>
        <w:rPr>
          <w:rFonts w:asciiTheme="majorHAnsi" w:hAnsiTheme="majorHAnsi"/>
          <w:sz w:val="16"/>
          <w:szCs w:val="16"/>
        </w:rPr>
      </w:pPr>
      <w:r w:rsidRPr="00011667">
        <w:rPr>
          <w:rStyle w:val="FootnoteReference"/>
          <w:rFonts w:asciiTheme="majorHAnsi" w:hAnsiTheme="majorHAnsi"/>
          <w:sz w:val="16"/>
          <w:szCs w:val="16"/>
        </w:rPr>
        <w:footnoteRef/>
      </w:r>
      <w:r w:rsidRPr="00011667">
        <w:rPr>
          <w:rFonts w:asciiTheme="majorHAnsi" w:hAnsiTheme="majorHAnsi"/>
          <w:sz w:val="16"/>
          <w:szCs w:val="16"/>
          <w:lang w:val="es-VE"/>
        </w:rPr>
        <w:t xml:space="preserve"> En adelante “</w:t>
      </w:r>
      <w:r w:rsidR="00506D99" w:rsidRPr="00011667">
        <w:rPr>
          <w:rFonts w:asciiTheme="majorHAnsi" w:hAnsiTheme="majorHAnsi"/>
          <w:sz w:val="16"/>
          <w:szCs w:val="16"/>
          <w:lang w:val="es-VE"/>
        </w:rPr>
        <w:t>la</w:t>
      </w:r>
      <w:r w:rsidRPr="00011667">
        <w:rPr>
          <w:rFonts w:asciiTheme="majorHAnsi" w:hAnsiTheme="majorHAnsi"/>
          <w:sz w:val="16"/>
          <w:szCs w:val="16"/>
          <w:lang w:val="es-VE"/>
        </w:rPr>
        <w:t xml:space="preserve"> Convención Americana.”  </w:t>
      </w:r>
    </w:p>
  </w:footnote>
  <w:footnote w:id="3">
    <w:p w14:paraId="4A3C6883" w14:textId="6D20988A" w:rsidR="00DF4939" w:rsidRPr="00011667" w:rsidRDefault="00DF4939" w:rsidP="00042F90">
      <w:pPr>
        <w:spacing w:after="0" w:line="240" w:lineRule="auto"/>
        <w:ind w:firstLine="720"/>
        <w:jc w:val="both"/>
        <w:rPr>
          <w:rFonts w:asciiTheme="majorHAnsi" w:hAnsiTheme="majorHAnsi"/>
          <w:sz w:val="16"/>
          <w:szCs w:val="16"/>
        </w:rPr>
      </w:pPr>
      <w:r w:rsidRPr="00011667">
        <w:rPr>
          <w:rStyle w:val="FootnoteReference"/>
          <w:rFonts w:asciiTheme="majorHAnsi" w:hAnsiTheme="majorHAnsi"/>
          <w:sz w:val="16"/>
          <w:szCs w:val="16"/>
        </w:rPr>
        <w:footnoteRef/>
      </w:r>
      <w:r w:rsidRPr="00011667">
        <w:rPr>
          <w:rFonts w:asciiTheme="majorHAnsi" w:hAnsiTheme="majorHAnsi"/>
          <w:sz w:val="16"/>
          <w:szCs w:val="16"/>
          <w:lang w:val="es-VE"/>
        </w:rPr>
        <w:t xml:space="preserve"> Artículos 2, 7, 8, 16, 25 y 26 de la Declaración Universal de Derechos Humanos. </w:t>
      </w:r>
    </w:p>
  </w:footnote>
  <w:footnote w:id="4">
    <w:p w14:paraId="6A903715" w14:textId="25F4B7B8" w:rsidR="00DF4939" w:rsidRPr="00011667" w:rsidRDefault="00DF4939" w:rsidP="00042F90">
      <w:pPr>
        <w:spacing w:after="0" w:line="240" w:lineRule="auto"/>
        <w:ind w:firstLine="720"/>
        <w:jc w:val="both"/>
        <w:rPr>
          <w:rFonts w:asciiTheme="majorHAnsi" w:hAnsiTheme="majorHAnsi"/>
          <w:sz w:val="16"/>
          <w:szCs w:val="16"/>
        </w:rPr>
      </w:pPr>
      <w:r w:rsidRPr="00011667">
        <w:rPr>
          <w:rStyle w:val="FootnoteReference"/>
          <w:rFonts w:asciiTheme="majorHAnsi" w:hAnsiTheme="majorHAnsi"/>
          <w:sz w:val="16"/>
          <w:szCs w:val="16"/>
        </w:rPr>
        <w:footnoteRef/>
      </w:r>
      <w:r w:rsidRPr="00011667">
        <w:rPr>
          <w:rFonts w:asciiTheme="majorHAnsi" w:hAnsiTheme="majorHAnsi"/>
          <w:sz w:val="16"/>
          <w:szCs w:val="16"/>
          <w:lang w:val="es-ES"/>
        </w:rPr>
        <w:t xml:space="preserve"> Las observaciones de cada parte fueron debidamente trasladadas a la parte contraria.</w:t>
      </w:r>
    </w:p>
  </w:footnote>
  <w:footnote w:id="5">
    <w:p w14:paraId="01443673" w14:textId="39CB291F" w:rsidR="0001561E" w:rsidRPr="00011667" w:rsidRDefault="0001561E" w:rsidP="00042F90">
      <w:pPr>
        <w:spacing w:after="0" w:line="240" w:lineRule="auto"/>
        <w:ind w:firstLine="720"/>
        <w:jc w:val="both"/>
        <w:rPr>
          <w:rFonts w:asciiTheme="majorHAnsi" w:hAnsiTheme="majorHAnsi"/>
          <w:sz w:val="16"/>
          <w:szCs w:val="16"/>
          <w:lang w:val="es-US"/>
        </w:rPr>
      </w:pPr>
      <w:r w:rsidRPr="00011667">
        <w:rPr>
          <w:rStyle w:val="FootnoteReference"/>
          <w:rFonts w:asciiTheme="majorHAnsi" w:hAnsiTheme="majorHAnsi"/>
          <w:sz w:val="16"/>
          <w:szCs w:val="16"/>
        </w:rPr>
        <w:footnoteRef/>
      </w:r>
      <w:r w:rsidRPr="00011667">
        <w:rPr>
          <w:rFonts w:asciiTheme="majorHAnsi" w:hAnsiTheme="majorHAnsi"/>
          <w:sz w:val="16"/>
          <w:szCs w:val="16"/>
          <w:lang w:val="es-US"/>
        </w:rPr>
        <w:t xml:space="preserve"> </w:t>
      </w:r>
      <w:r w:rsidR="00177890" w:rsidRPr="00011667">
        <w:rPr>
          <w:rFonts w:asciiTheme="majorHAnsi" w:hAnsiTheme="majorHAnsi" w:cs="Arial"/>
          <w:sz w:val="16"/>
          <w:szCs w:val="16"/>
          <w:lang w:val="es-ES_tradnl"/>
        </w:rPr>
        <w:t xml:space="preserve">En </w:t>
      </w:r>
      <w:r w:rsidR="00402490" w:rsidRPr="00011667">
        <w:rPr>
          <w:rFonts w:asciiTheme="majorHAnsi" w:hAnsiTheme="majorHAnsi" w:cs="Arial"/>
          <w:sz w:val="16"/>
          <w:szCs w:val="16"/>
          <w:lang w:val="es-ES_tradnl"/>
        </w:rPr>
        <w:t>dicha</w:t>
      </w:r>
      <w:r w:rsidR="00177890" w:rsidRPr="00011667">
        <w:rPr>
          <w:rFonts w:asciiTheme="majorHAnsi" w:hAnsiTheme="majorHAnsi" w:cs="Arial"/>
          <w:sz w:val="16"/>
          <w:szCs w:val="16"/>
          <w:lang w:val="es-ES_tradnl"/>
        </w:rPr>
        <w:t xml:space="preserve"> decisión la Corte determinó que “la institución recurrente goza de inmunidad jurisdiccional, cualquier reclamo contra ese organismo, sea de cualquier naturaleza, </w:t>
      </w:r>
      <w:r w:rsidR="00177890" w:rsidRPr="00011667">
        <w:rPr>
          <w:rFonts w:asciiTheme="majorHAnsi" w:eastAsia="Calibri" w:hAnsiTheme="majorHAnsi" w:cstheme="minorHAnsi"/>
          <w:sz w:val="16"/>
          <w:szCs w:val="16"/>
          <w:bdr w:val="nil"/>
        </w:rPr>
        <w:t>deberá</w:t>
      </w:r>
      <w:r w:rsidR="00177890" w:rsidRPr="00011667">
        <w:rPr>
          <w:rFonts w:asciiTheme="majorHAnsi" w:hAnsiTheme="majorHAnsi" w:cs="Arial"/>
          <w:sz w:val="16"/>
          <w:szCs w:val="16"/>
          <w:lang w:val="es-ES_tradnl"/>
        </w:rPr>
        <w:t xml:space="preserve"> tramitarse por la vía diplomática para todo aquel que contrate en cualquier materia con el organismo” y que “cualquier reclamo laboral deberá llevarse por la Secretaría de Trabajo y Seguridad Social trasladándolo por intermedio de la Secretaría de Relaciones Exteriores”.</w:t>
      </w:r>
    </w:p>
  </w:footnote>
  <w:footnote w:id="6">
    <w:p w14:paraId="4BA210CE" w14:textId="673816BC" w:rsidR="002B6F88" w:rsidRPr="00011667" w:rsidRDefault="002B6F88" w:rsidP="00042F90">
      <w:pPr>
        <w:pStyle w:val="FootnoteText"/>
        <w:spacing w:after="0" w:line="240" w:lineRule="auto"/>
        <w:ind w:firstLine="720"/>
        <w:jc w:val="both"/>
        <w:rPr>
          <w:rFonts w:asciiTheme="majorHAnsi" w:hAnsiTheme="majorHAnsi"/>
          <w:sz w:val="16"/>
          <w:szCs w:val="16"/>
          <w:lang w:val="es-US"/>
        </w:rPr>
      </w:pPr>
      <w:r w:rsidRPr="00011667">
        <w:rPr>
          <w:rStyle w:val="FootnoteReference"/>
          <w:rFonts w:asciiTheme="majorHAnsi" w:hAnsiTheme="majorHAnsi"/>
          <w:sz w:val="16"/>
          <w:szCs w:val="16"/>
        </w:rPr>
        <w:footnoteRef/>
      </w:r>
      <w:r w:rsidRPr="00011667">
        <w:rPr>
          <w:rFonts w:asciiTheme="majorHAnsi" w:hAnsiTheme="majorHAnsi"/>
          <w:sz w:val="16"/>
          <w:szCs w:val="16"/>
        </w:rPr>
        <w:t xml:space="preserve"> Dicho </w:t>
      </w:r>
      <w:r w:rsidRPr="00011667">
        <w:rPr>
          <w:rFonts w:asciiTheme="majorHAnsi" w:hAnsiTheme="majorHAnsi" w:cs="Arial"/>
          <w:sz w:val="16"/>
          <w:szCs w:val="16"/>
          <w:lang w:val="es-ES_tradnl"/>
        </w:rPr>
        <w:t>expediente es el de una que persona recurrió en amparo luego de que los tribunales laborales declinaran jurisdicción para conocer su demanda contra COCESNA. La Corte Suprema concedió el amparo solicitado y reconoció la competencia de la justicia laboral hondureña para conocer el caso; indicando que “las inmunidades deben ser expresas y taxativas y están sujetas a la interpretación restrictiva; por consecuente si se hubiese querido consagrar inmunidad en relación con la jurisdicción laboral o del trabajo, así se hubiese consagrado expresamente en la Convención de Viena”; y que las normas estatutarias de COCESNA establecían que “el personal de la Corporación estará regido por el Código de servicios, por el reglamento interno de trabajo y por las leyes laborales del lugar donde presten sus servicios”.</w:t>
      </w:r>
    </w:p>
  </w:footnote>
  <w:footnote w:id="7">
    <w:p w14:paraId="416DC1FD" w14:textId="4D84987F" w:rsidR="00011667" w:rsidRPr="00011667" w:rsidRDefault="00011667" w:rsidP="00042F90">
      <w:pPr>
        <w:pStyle w:val="Default"/>
        <w:spacing w:after="0" w:line="240" w:lineRule="auto"/>
        <w:jc w:val="both"/>
        <w:rPr>
          <w:rFonts w:asciiTheme="majorHAnsi" w:hAnsiTheme="majorHAnsi" w:cs="Arial"/>
          <w:sz w:val="16"/>
          <w:szCs w:val="16"/>
          <w:lang w:val="es-ES_tradnl" w:eastAsia="es-ES"/>
        </w:rPr>
      </w:pPr>
      <w:r w:rsidRPr="00011667">
        <w:rPr>
          <w:rFonts w:asciiTheme="majorHAnsi" w:hAnsiTheme="majorHAnsi"/>
          <w:sz w:val="16"/>
          <w:szCs w:val="16"/>
          <w:lang w:val="es-US"/>
        </w:rPr>
        <w:tab/>
      </w:r>
      <w:r w:rsidRPr="00011667">
        <w:rPr>
          <w:rStyle w:val="FootnoteReference"/>
          <w:rFonts w:asciiTheme="majorHAnsi" w:hAnsiTheme="majorHAnsi"/>
          <w:sz w:val="16"/>
          <w:szCs w:val="16"/>
        </w:rPr>
        <w:footnoteRef/>
      </w:r>
      <w:r w:rsidRPr="00011667">
        <w:rPr>
          <w:rFonts w:asciiTheme="majorHAnsi" w:hAnsiTheme="majorHAnsi"/>
          <w:sz w:val="16"/>
          <w:szCs w:val="16"/>
          <w:lang w:val="es-US"/>
        </w:rPr>
        <w:t xml:space="preserve"> </w:t>
      </w:r>
      <w:r w:rsidRPr="00011667">
        <w:rPr>
          <w:rFonts w:asciiTheme="majorHAnsi" w:hAnsiTheme="majorHAnsi" w:cs="Arial"/>
          <w:sz w:val="16"/>
          <w:szCs w:val="16"/>
          <w:lang w:val="es-ES_tradnl" w:eastAsia="es-ES"/>
        </w:rPr>
        <w:t xml:space="preserve">Junto con el oficio de COCESNA el Estado acompaña copia de la Opinión Consultiva 6-13-6-2019 en que la Corte Centroamericana cita su jurisprudencia previa en el siguiente sentido: </w:t>
      </w:r>
    </w:p>
    <w:p w14:paraId="6DA5F0D1" w14:textId="7B86DFD4" w:rsidR="00011667" w:rsidRPr="00011667" w:rsidRDefault="00011667" w:rsidP="00042F90">
      <w:pPr>
        <w:pStyle w:val="Default"/>
        <w:spacing w:after="0" w:line="240" w:lineRule="auto"/>
        <w:ind w:left="720" w:right="720"/>
        <w:jc w:val="both"/>
        <w:rPr>
          <w:rFonts w:asciiTheme="majorHAnsi" w:hAnsiTheme="majorHAnsi" w:cs="Arial"/>
          <w:sz w:val="16"/>
          <w:szCs w:val="16"/>
          <w:lang w:val="es-ES_tradnl" w:eastAsia="es-ES"/>
        </w:rPr>
      </w:pPr>
      <w:r w:rsidRPr="00011667">
        <w:rPr>
          <w:rFonts w:asciiTheme="majorHAnsi" w:hAnsiTheme="majorHAnsi" w:cs="Arial"/>
          <w:sz w:val="16"/>
          <w:szCs w:val="16"/>
          <w:lang w:val="es-ES_tradnl" w:eastAsia="es-ES"/>
        </w:rPr>
        <w:t xml:space="preserve">[E]l artículo 180 del Código de Servicios de COCESNA al referirse a la competencia de la Corte Centroamericana de Justicia establece: ‘Cualquiera de las partes que se sienta inconforme con el Laudo y por consiguiente afectada en sus pretensiones, podrá acudir ante la Corte Centroamericana de Justicia como órgano de jurisdicción permanente y obligatoria, exclusiva y de única instancia, cuyas sentencias son de carácter vinculante y por ende su jurisdicción y competencia regionales son de carácter obligatorio y deben ser respetadas. </w:t>
      </w:r>
    </w:p>
  </w:footnote>
  <w:footnote w:id="8">
    <w:p w14:paraId="1AD0D555" w14:textId="32C9E75B" w:rsidR="00A200D6" w:rsidRPr="00011667" w:rsidRDefault="00A200D6" w:rsidP="00042F90">
      <w:pPr>
        <w:spacing w:after="0" w:line="240" w:lineRule="auto"/>
        <w:ind w:firstLine="720"/>
        <w:jc w:val="both"/>
        <w:rPr>
          <w:rFonts w:asciiTheme="majorHAnsi" w:hAnsiTheme="majorHAnsi" w:cs="Calibri"/>
          <w:sz w:val="16"/>
          <w:szCs w:val="16"/>
          <w:lang w:val="es-ES_tradnl"/>
        </w:rPr>
      </w:pPr>
      <w:r w:rsidRPr="00011667">
        <w:rPr>
          <w:rStyle w:val="FootnoteReference"/>
          <w:rFonts w:asciiTheme="majorHAnsi" w:hAnsiTheme="majorHAnsi" w:cs="Calibri"/>
          <w:sz w:val="16"/>
          <w:szCs w:val="16"/>
        </w:rPr>
        <w:footnoteRef/>
      </w:r>
      <w:r w:rsidRPr="00011667">
        <w:rPr>
          <w:rFonts w:asciiTheme="majorHAnsi" w:hAnsiTheme="majorHAnsi" w:cs="Calibri"/>
          <w:sz w:val="16"/>
          <w:szCs w:val="16"/>
          <w:lang w:val="es-ES"/>
        </w:rPr>
        <w:t xml:space="preserve"> CIDH, Informe No. 26/16, Petición 932-03. Inadmisibilidad. Rómulo Jonás Ponce Santamaría. Perú. 15 de abril de 2016, párr.</w:t>
      </w:r>
      <w:r w:rsidRPr="00011667">
        <w:rPr>
          <w:rFonts w:asciiTheme="majorHAnsi" w:hAnsiTheme="majorHAnsi" w:cs="Calibri"/>
          <w:sz w:val="16"/>
          <w:szCs w:val="16"/>
          <w:lang w:val="es-ES_tradnl"/>
        </w:rPr>
        <w:t xml:space="preserve"> 25.</w:t>
      </w:r>
    </w:p>
  </w:footnote>
  <w:footnote w:id="9">
    <w:p w14:paraId="70A33691" w14:textId="79A4709E" w:rsidR="00A200D6" w:rsidRPr="00011667" w:rsidRDefault="00A200D6" w:rsidP="00042F90">
      <w:pPr>
        <w:spacing w:after="0" w:line="240" w:lineRule="auto"/>
        <w:ind w:firstLine="720"/>
        <w:jc w:val="both"/>
        <w:rPr>
          <w:rFonts w:asciiTheme="majorHAnsi" w:hAnsiTheme="majorHAnsi"/>
          <w:sz w:val="16"/>
          <w:szCs w:val="16"/>
        </w:rPr>
      </w:pPr>
      <w:r w:rsidRPr="00011667">
        <w:rPr>
          <w:rStyle w:val="FootnoteReference"/>
          <w:rFonts w:asciiTheme="majorHAnsi" w:hAnsiTheme="majorHAnsi"/>
          <w:sz w:val="16"/>
          <w:szCs w:val="16"/>
        </w:rPr>
        <w:footnoteRef/>
      </w:r>
      <w:r w:rsidRPr="00011667">
        <w:rPr>
          <w:rFonts w:asciiTheme="majorHAnsi" w:hAnsiTheme="majorHAnsi"/>
          <w:sz w:val="16"/>
          <w:szCs w:val="16"/>
        </w:rPr>
        <w:t xml:space="preserve"> Corte IDH. Excepciones al agotamiento de los recursos internos (Arts. 46.1, 46.2a y 46.2b de la Convención Americana sobre Derechos Humanos). Opinión Consultiva OC-11/90 de 10 de agosto de 1990, párr. 41</w:t>
      </w:r>
      <w:r w:rsidR="00047C17" w:rsidRPr="00011667">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58D8" w14:textId="77777777" w:rsidR="00DF4939" w:rsidRDefault="00DF4939" w:rsidP="00F524A3">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094D5F11" w14:textId="77777777" w:rsidR="00DF4939" w:rsidRDefault="00DF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98D" w14:textId="77777777" w:rsidR="00DF4939" w:rsidRDefault="00DF4939" w:rsidP="00A50FCF">
    <w:pPr>
      <w:pStyle w:val="Header"/>
      <w:tabs>
        <w:tab w:val="clear" w:pos="4320"/>
        <w:tab w:val="clear" w:pos="8640"/>
      </w:tabs>
      <w:jc w:val="center"/>
    </w:pPr>
    <w:r>
      <w:rPr>
        <w:noProof/>
      </w:rPr>
      <w:drawing>
        <wp:inline distT="0" distB="0" distL="0" distR="0" wp14:anchorId="79C2367F" wp14:editId="2AB198C7">
          <wp:extent cx="1952625" cy="10477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4FD3CDB6" w14:textId="77777777" w:rsidR="00DF4939" w:rsidRPr="00EC7D62" w:rsidRDefault="00EE1FBA" w:rsidP="00A50FCF">
    <w:pPr>
      <w:pStyle w:val="Header"/>
      <w:tabs>
        <w:tab w:val="clear" w:pos="4320"/>
        <w:tab w:val="clear" w:pos="8640"/>
      </w:tabs>
      <w:jc w:val="center"/>
    </w:pPr>
    <w:r>
      <w:pict w14:anchorId="7A3EE0D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E5F"/>
    <w:multiLevelType w:val="hybridMultilevel"/>
    <w:tmpl w:val="C3205ACA"/>
    <w:lvl w:ilvl="0" w:tplc="59AA5854">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7E17AC"/>
    <w:lvl w:ilvl="0" w:tplc="8EEEDFA6">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385B60"/>
    <w:multiLevelType w:val="hybridMultilevel"/>
    <w:tmpl w:val="8422796E"/>
    <w:lvl w:ilvl="0" w:tplc="AC3047C2">
      <w:start w:val="15"/>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7CB0D48"/>
    <w:multiLevelType w:val="hybridMultilevel"/>
    <w:tmpl w:val="435A58F2"/>
    <w:lvl w:ilvl="0" w:tplc="92FA1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51D76239"/>
    <w:multiLevelType w:val="multilevel"/>
    <w:tmpl w:val="AA7E17A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5DAA001E"/>
    <w:multiLevelType w:val="hybridMultilevel"/>
    <w:tmpl w:val="7862AFFA"/>
    <w:lvl w:ilvl="0" w:tplc="5B20707C">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0786ED7"/>
    <w:multiLevelType w:val="hybridMultilevel"/>
    <w:tmpl w:val="0004DB54"/>
    <w:lvl w:ilvl="0" w:tplc="69020C3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7EC680E"/>
    <w:multiLevelType w:val="hybridMultilevel"/>
    <w:tmpl w:val="68562832"/>
    <w:lvl w:ilvl="0" w:tplc="60643A90">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16cid:durableId="1425105378">
    <w:abstractNumId w:val="4"/>
  </w:num>
  <w:num w:numId="2" w16cid:durableId="1611158217">
    <w:abstractNumId w:val="6"/>
  </w:num>
  <w:num w:numId="3" w16cid:durableId="2131364357">
    <w:abstractNumId w:val="57"/>
  </w:num>
  <w:num w:numId="4" w16cid:durableId="609513819">
    <w:abstractNumId w:val="23"/>
  </w:num>
  <w:num w:numId="5" w16cid:durableId="544030501">
    <w:abstractNumId w:val="50"/>
  </w:num>
  <w:num w:numId="6" w16cid:durableId="940841068">
    <w:abstractNumId w:val="28"/>
  </w:num>
  <w:num w:numId="7" w16cid:durableId="1032002776">
    <w:abstractNumId w:val="7"/>
  </w:num>
  <w:num w:numId="8" w16cid:durableId="864682199">
    <w:abstractNumId w:val="18"/>
  </w:num>
  <w:num w:numId="9" w16cid:durableId="289434210">
    <w:abstractNumId w:val="44"/>
  </w:num>
  <w:num w:numId="10" w16cid:durableId="700859564">
    <w:abstractNumId w:val="1"/>
  </w:num>
  <w:num w:numId="11" w16cid:durableId="770662805">
    <w:abstractNumId w:val="38"/>
  </w:num>
  <w:num w:numId="12" w16cid:durableId="707532397">
    <w:abstractNumId w:val="39"/>
  </w:num>
  <w:num w:numId="13" w16cid:durableId="196935769">
    <w:abstractNumId w:val="46"/>
  </w:num>
  <w:num w:numId="14" w16cid:durableId="1450200955">
    <w:abstractNumId w:val="2"/>
  </w:num>
  <w:num w:numId="15" w16cid:durableId="1930774853">
    <w:abstractNumId w:val="3"/>
  </w:num>
  <w:num w:numId="16" w16cid:durableId="820736050">
    <w:abstractNumId w:val="8"/>
  </w:num>
  <w:num w:numId="17" w16cid:durableId="956596168">
    <w:abstractNumId w:val="9"/>
  </w:num>
  <w:num w:numId="18" w16cid:durableId="1312712858">
    <w:abstractNumId w:val="10"/>
  </w:num>
  <w:num w:numId="19" w16cid:durableId="607352860">
    <w:abstractNumId w:val="11"/>
  </w:num>
  <w:num w:numId="20" w16cid:durableId="1407915966">
    <w:abstractNumId w:val="12"/>
  </w:num>
  <w:num w:numId="21" w16cid:durableId="364209360">
    <w:abstractNumId w:val="13"/>
  </w:num>
  <w:num w:numId="22" w16cid:durableId="1935898542">
    <w:abstractNumId w:val="14"/>
  </w:num>
  <w:num w:numId="23" w16cid:durableId="1792555727">
    <w:abstractNumId w:val="15"/>
  </w:num>
  <w:num w:numId="24" w16cid:durableId="1351104297">
    <w:abstractNumId w:val="17"/>
  </w:num>
  <w:num w:numId="25" w16cid:durableId="1634822326">
    <w:abstractNumId w:val="19"/>
  </w:num>
  <w:num w:numId="26" w16cid:durableId="1090928474">
    <w:abstractNumId w:val="20"/>
  </w:num>
  <w:num w:numId="27" w16cid:durableId="978341773">
    <w:abstractNumId w:val="24"/>
  </w:num>
  <w:num w:numId="28" w16cid:durableId="61217012">
    <w:abstractNumId w:val="25"/>
  </w:num>
  <w:num w:numId="29" w16cid:durableId="304552202">
    <w:abstractNumId w:val="26"/>
  </w:num>
  <w:num w:numId="30" w16cid:durableId="1515223668">
    <w:abstractNumId w:val="27"/>
  </w:num>
  <w:num w:numId="31" w16cid:durableId="2111461391">
    <w:abstractNumId w:val="29"/>
  </w:num>
  <w:num w:numId="32" w16cid:durableId="578295340">
    <w:abstractNumId w:val="30"/>
  </w:num>
  <w:num w:numId="33" w16cid:durableId="2044355346">
    <w:abstractNumId w:val="31"/>
  </w:num>
  <w:num w:numId="34" w16cid:durableId="864950913">
    <w:abstractNumId w:val="32"/>
  </w:num>
  <w:num w:numId="35" w16cid:durableId="953513448">
    <w:abstractNumId w:val="33"/>
  </w:num>
  <w:num w:numId="36" w16cid:durableId="499656228">
    <w:abstractNumId w:val="34"/>
  </w:num>
  <w:num w:numId="37" w16cid:durableId="946086507">
    <w:abstractNumId w:val="36"/>
  </w:num>
  <w:num w:numId="38" w16cid:durableId="48380183">
    <w:abstractNumId w:val="37"/>
  </w:num>
  <w:num w:numId="39" w16cid:durableId="1000811915">
    <w:abstractNumId w:val="40"/>
  </w:num>
  <w:num w:numId="40" w16cid:durableId="1138110056">
    <w:abstractNumId w:val="41"/>
  </w:num>
  <w:num w:numId="41" w16cid:durableId="1955356322">
    <w:abstractNumId w:val="49"/>
  </w:num>
  <w:num w:numId="42" w16cid:durableId="645941025">
    <w:abstractNumId w:val="51"/>
  </w:num>
  <w:num w:numId="43" w16cid:durableId="236521198">
    <w:abstractNumId w:val="52"/>
  </w:num>
  <w:num w:numId="44" w16cid:durableId="921371620">
    <w:abstractNumId w:val="54"/>
  </w:num>
  <w:num w:numId="45" w16cid:durableId="677273508">
    <w:abstractNumId w:val="56"/>
  </w:num>
  <w:num w:numId="46" w16cid:durableId="761295091">
    <w:abstractNumId w:val="58"/>
  </w:num>
  <w:num w:numId="47" w16cid:durableId="319233799">
    <w:abstractNumId w:val="59"/>
  </w:num>
  <w:num w:numId="48" w16cid:durableId="700131239">
    <w:abstractNumId w:val="60"/>
  </w:num>
  <w:num w:numId="49" w16cid:durableId="1249923546">
    <w:abstractNumId w:val="61"/>
  </w:num>
  <w:num w:numId="50" w16cid:durableId="1860506973">
    <w:abstractNumId w:val="62"/>
  </w:num>
  <w:num w:numId="51" w16cid:durableId="830949162">
    <w:abstractNumId w:val="22"/>
  </w:num>
  <w:num w:numId="52" w16cid:durableId="623468648">
    <w:abstractNumId w:val="42"/>
  </w:num>
  <w:num w:numId="53" w16cid:durableId="529102236">
    <w:abstractNumId w:val="53"/>
  </w:num>
  <w:num w:numId="54" w16cid:durableId="345402708">
    <w:abstractNumId w:val="47"/>
  </w:num>
  <w:num w:numId="55" w16cid:durableId="581834660">
    <w:abstractNumId w:val="5"/>
  </w:num>
  <w:num w:numId="56" w16cid:durableId="83767838">
    <w:abstractNumId w:val="45"/>
  </w:num>
  <w:num w:numId="57" w16cid:durableId="1776828569">
    <w:abstractNumId w:val="16"/>
  </w:num>
  <w:num w:numId="58" w16cid:durableId="69541440">
    <w:abstractNumId w:val="0"/>
  </w:num>
  <w:num w:numId="59" w16cid:durableId="270669291">
    <w:abstractNumId w:val="55"/>
  </w:num>
  <w:num w:numId="60" w16cid:durableId="1421178457">
    <w:abstractNumId w:val="21"/>
  </w:num>
  <w:num w:numId="61" w16cid:durableId="1742407477">
    <w:abstractNumId w:val="48"/>
  </w:num>
  <w:num w:numId="62" w16cid:durableId="2018729695">
    <w:abstractNumId w:val="43"/>
  </w:num>
  <w:num w:numId="63" w16cid:durableId="755522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0469527">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384"/>
    <w:rsid w:val="00000CDA"/>
    <w:rsid w:val="0000193D"/>
    <w:rsid w:val="00003793"/>
    <w:rsid w:val="00006E1F"/>
    <w:rsid w:val="000070D7"/>
    <w:rsid w:val="00007F6A"/>
    <w:rsid w:val="00011667"/>
    <w:rsid w:val="0001423C"/>
    <w:rsid w:val="0001489E"/>
    <w:rsid w:val="0001561E"/>
    <w:rsid w:val="00015B5D"/>
    <w:rsid w:val="00016020"/>
    <w:rsid w:val="0001788C"/>
    <w:rsid w:val="00021EC2"/>
    <w:rsid w:val="0002403C"/>
    <w:rsid w:val="00024DED"/>
    <w:rsid w:val="000337EF"/>
    <w:rsid w:val="00033F92"/>
    <w:rsid w:val="00034211"/>
    <w:rsid w:val="000406EF"/>
    <w:rsid w:val="00040C3A"/>
    <w:rsid w:val="00040FFC"/>
    <w:rsid w:val="000419AD"/>
    <w:rsid w:val="00042F90"/>
    <w:rsid w:val="000433C9"/>
    <w:rsid w:val="00047772"/>
    <w:rsid w:val="00047C17"/>
    <w:rsid w:val="00053097"/>
    <w:rsid w:val="00053E6D"/>
    <w:rsid w:val="00056AD7"/>
    <w:rsid w:val="00057651"/>
    <w:rsid w:val="0006460B"/>
    <w:rsid w:val="0006676B"/>
    <w:rsid w:val="00067FB4"/>
    <w:rsid w:val="000716C5"/>
    <w:rsid w:val="00075D34"/>
    <w:rsid w:val="00075E23"/>
    <w:rsid w:val="0007689A"/>
    <w:rsid w:val="000771ED"/>
    <w:rsid w:val="00077C36"/>
    <w:rsid w:val="000830F3"/>
    <w:rsid w:val="0008425C"/>
    <w:rsid w:val="00086443"/>
    <w:rsid w:val="00087E8A"/>
    <w:rsid w:val="0009231E"/>
    <w:rsid w:val="0009344A"/>
    <w:rsid w:val="0009740F"/>
    <w:rsid w:val="000A109C"/>
    <w:rsid w:val="000A392E"/>
    <w:rsid w:val="000A3DC8"/>
    <w:rsid w:val="000A4A88"/>
    <w:rsid w:val="000A575F"/>
    <w:rsid w:val="000A5A4C"/>
    <w:rsid w:val="000A7028"/>
    <w:rsid w:val="000B47D2"/>
    <w:rsid w:val="000B490E"/>
    <w:rsid w:val="000B7014"/>
    <w:rsid w:val="000C0FF6"/>
    <w:rsid w:val="000C537B"/>
    <w:rsid w:val="000C6080"/>
    <w:rsid w:val="000D00DB"/>
    <w:rsid w:val="000D0BC1"/>
    <w:rsid w:val="000D10DB"/>
    <w:rsid w:val="000D1333"/>
    <w:rsid w:val="000D15F1"/>
    <w:rsid w:val="000D1A44"/>
    <w:rsid w:val="000D1D67"/>
    <w:rsid w:val="000D3C66"/>
    <w:rsid w:val="000D5A4B"/>
    <w:rsid w:val="000D67B1"/>
    <w:rsid w:val="000E31EC"/>
    <w:rsid w:val="000E5EB5"/>
    <w:rsid w:val="000E5F49"/>
    <w:rsid w:val="000E660A"/>
    <w:rsid w:val="000E7BA9"/>
    <w:rsid w:val="000F1317"/>
    <w:rsid w:val="000F2A0E"/>
    <w:rsid w:val="000F35ED"/>
    <w:rsid w:val="000F50B3"/>
    <w:rsid w:val="000F644A"/>
    <w:rsid w:val="000F7CA4"/>
    <w:rsid w:val="001007EE"/>
    <w:rsid w:val="00106B82"/>
    <w:rsid w:val="00107131"/>
    <w:rsid w:val="0010736F"/>
    <w:rsid w:val="00112C6E"/>
    <w:rsid w:val="00113A49"/>
    <w:rsid w:val="00113F73"/>
    <w:rsid w:val="001211FD"/>
    <w:rsid w:val="00121CC2"/>
    <w:rsid w:val="00122150"/>
    <w:rsid w:val="00124FD0"/>
    <w:rsid w:val="00126EFD"/>
    <w:rsid w:val="0012722C"/>
    <w:rsid w:val="0013063E"/>
    <w:rsid w:val="001310C3"/>
    <w:rsid w:val="00131A7A"/>
    <w:rsid w:val="00133EE5"/>
    <w:rsid w:val="001373DB"/>
    <w:rsid w:val="001412E0"/>
    <w:rsid w:val="0014234F"/>
    <w:rsid w:val="0014362F"/>
    <w:rsid w:val="00143C8D"/>
    <w:rsid w:val="00150822"/>
    <w:rsid w:val="00151C27"/>
    <w:rsid w:val="001529BA"/>
    <w:rsid w:val="00153568"/>
    <w:rsid w:val="0015756A"/>
    <w:rsid w:val="00157F3E"/>
    <w:rsid w:val="001613F6"/>
    <w:rsid w:val="00162581"/>
    <w:rsid w:val="00164F04"/>
    <w:rsid w:val="00165E08"/>
    <w:rsid w:val="00167A34"/>
    <w:rsid w:val="00173237"/>
    <w:rsid w:val="00174DFB"/>
    <w:rsid w:val="00177890"/>
    <w:rsid w:val="00180A39"/>
    <w:rsid w:val="00181439"/>
    <w:rsid w:val="001843CF"/>
    <w:rsid w:val="00185590"/>
    <w:rsid w:val="00186271"/>
    <w:rsid w:val="001927AB"/>
    <w:rsid w:val="00192BA0"/>
    <w:rsid w:val="001947F6"/>
    <w:rsid w:val="001A645B"/>
    <w:rsid w:val="001A7870"/>
    <w:rsid w:val="001B3A00"/>
    <w:rsid w:val="001B690F"/>
    <w:rsid w:val="001C160D"/>
    <w:rsid w:val="001C1B41"/>
    <w:rsid w:val="001C1BEB"/>
    <w:rsid w:val="001C4D80"/>
    <w:rsid w:val="001C5C39"/>
    <w:rsid w:val="001C5C7F"/>
    <w:rsid w:val="001C7989"/>
    <w:rsid w:val="001D0112"/>
    <w:rsid w:val="001D2706"/>
    <w:rsid w:val="001D4839"/>
    <w:rsid w:val="001D65EF"/>
    <w:rsid w:val="001D7A59"/>
    <w:rsid w:val="001D7CD5"/>
    <w:rsid w:val="001E162A"/>
    <w:rsid w:val="001E21FE"/>
    <w:rsid w:val="001E2524"/>
    <w:rsid w:val="001E259C"/>
    <w:rsid w:val="001E49E7"/>
    <w:rsid w:val="001F0B8B"/>
    <w:rsid w:val="001F1FA3"/>
    <w:rsid w:val="001F7201"/>
    <w:rsid w:val="002004C1"/>
    <w:rsid w:val="00206ACE"/>
    <w:rsid w:val="002146EB"/>
    <w:rsid w:val="0021673A"/>
    <w:rsid w:val="002167C8"/>
    <w:rsid w:val="00220FBB"/>
    <w:rsid w:val="0022230A"/>
    <w:rsid w:val="00223A29"/>
    <w:rsid w:val="00223AA5"/>
    <w:rsid w:val="00223FAC"/>
    <w:rsid w:val="002250A3"/>
    <w:rsid w:val="00235217"/>
    <w:rsid w:val="002403F5"/>
    <w:rsid w:val="0024413C"/>
    <w:rsid w:val="00244671"/>
    <w:rsid w:val="00244DAE"/>
    <w:rsid w:val="00246097"/>
    <w:rsid w:val="00246185"/>
    <w:rsid w:val="0024644B"/>
    <w:rsid w:val="00246D1F"/>
    <w:rsid w:val="00247403"/>
    <w:rsid w:val="00247542"/>
    <w:rsid w:val="00255D98"/>
    <w:rsid w:val="00257F75"/>
    <w:rsid w:val="00266B3E"/>
    <w:rsid w:val="00266B61"/>
    <w:rsid w:val="0026710F"/>
    <w:rsid w:val="0026712A"/>
    <w:rsid w:val="00267903"/>
    <w:rsid w:val="002704DB"/>
    <w:rsid w:val="0027159B"/>
    <w:rsid w:val="002765AD"/>
    <w:rsid w:val="002813D6"/>
    <w:rsid w:val="0028269C"/>
    <w:rsid w:val="002845DA"/>
    <w:rsid w:val="0028742F"/>
    <w:rsid w:val="002900D2"/>
    <w:rsid w:val="00292982"/>
    <w:rsid w:val="00295FBB"/>
    <w:rsid w:val="002A0AAE"/>
    <w:rsid w:val="002A4111"/>
    <w:rsid w:val="002A4CDC"/>
    <w:rsid w:val="002A541B"/>
    <w:rsid w:val="002A5820"/>
    <w:rsid w:val="002A6877"/>
    <w:rsid w:val="002B0DD2"/>
    <w:rsid w:val="002B31ED"/>
    <w:rsid w:val="002B4131"/>
    <w:rsid w:val="002B5062"/>
    <w:rsid w:val="002B5209"/>
    <w:rsid w:val="002B6003"/>
    <w:rsid w:val="002B6F88"/>
    <w:rsid w:val="002B7408"/>
    <w:rsid w:val="002C5A69"/>
    <w:rsid w:val="002C7AA6"/>
    <w:rsid w:val="002D11B1"/>
    <w:rsid w:val="002D2B26"/>
    <w:rsid w:val="002D3296"/>
    <w:rsid w:val="002D56D6"/>
    <w:rsid w:val="002D7EA2"/>
    <w:rsid w:val="002E0104"/>
    <w:rsid w:val="002E05CC"/>
    <w:rsid w:val="002E187C"/>
    <w:rsid w:val="002E2945"/>
    <w:rsid w:val="002E39B1"/>
    <w:rsid w:val="002E6596"/>
    <w:rsid w:val="002F2EE3"/>
    <w:rsid w:val="002F3C64"/>
    <w:rsid w:val="002F644E"/>
    <w:rsid w:val="002F75F5"/>
    <w:rsid w:val="00301C5B"/>
    <w:rsid w:val="00302733"/>
    <w:rsid w:val="0030419B"/>
    <w:rsid w:val="00304A7F"/>
    <w:rsid w:val="003062E3"/>
    <w:rsid w:val="00310969"/>
    <w:rsid w:val="00310EED"/>
    <w:rsid w:val="00311A84"/>
    <w:rsid w:val="0031297A"/>
    <w:rsid w:val="003136B8"/>
    <w:rsid w:val="00313E94"/>
    <w:rsid w:val="00314078"/>
    <w:rsid w:val="0031535D"/>
    <w:rsid w:val="003170B4"/>
    <w:rsid w:val="00317C7C"/>
    <w:rsid w:val="003225BB"/>
    <w:rsid w:val="003239B8"/>
    <w:rsid w:val="00325E52"/>
    <w:rsid w:val="00327945"/>
    <w:rsid w:val="00327DA7"/>
    <w:rsid w:val="00331304"/>
    <w:rsid w:val="0033169F"/>
    <w:rsid w:val="00335593"/>
    <w:rsid w:val="003377E6"/>
    <w:rsid w:val="00342A24"/>
    <w:rsid w:val="003433A8"/>
    <w:rsid w:val="00344977"/>
    <w:rsid w:val="00346C95"/>
    <w:rsid w:val="00354806"/>
    <w:rsid w:val="00354B00"/>
    <w:rsid w:val="003553AB"/>
    <w:rsid w:val="00356185"/>
    <w:rsid w:val="0035786B"/>
    <w:rsid w:val="00360380"/>
    <w:rsid w:val="003603DE"/>
    <w:rsid w:val="0036243D"/>
    <w:rsid w:val="00363507"/>
    <w:rsid w:val="003635E5"/>
    <w:rsid w:val="0036390A"/>
    <w:rsid w:val="0036505C"/>
    <w:rsid w:val="00365E52"/>
    <w:rsid w:val="00367F3E"/>
    <w:rsid w:val="0037257F"/>
    <w:rsid w:val="00372A1A"/>
    <w:rsid w:val="00374D22"/>
    <w:rsid w:val="00375151"/>
    <w:rsid w:val="0037519E"/>
    <w:rsid w:val="0037742A"/>
    <w:rsid w:val="0038030F"/>
    <w:rsid w:val="00382507"/>
    <w:rsid w:val="003847C1"/>
    <w:rsid w:val="0038651A"/>
    <w:rsid w:val="00386CF0"/>
    <w:rsid w:val="003935D7"/>
    <w:rsid w:val="00394FC3"/>
    <w:rsid w:val="0039666D"/>
    <w:rsid w:val="00396D28"/>
    <w:rsid w:val="00397F8E"/>
    <w:rsid w:val="003A0F36"/>
    <w:rsid w:val="003A202D"/>
    <w:rsid w:val="003B2755"/>
    <w:rsid w:val="003B5513"/>
    <w:rsid w:val="003B6DA0"/>
    <w:rsid w:val="003B70E6"/>
    <w:rsid w:val="003B70FB"/>
    <w:rsid w:val="003C1991"/>
    <w:rsid w:val="003C1B7C"/>
    <w:rsid w:val="003C36AE"/>
    <w:rsid w:val="003C3C05"/>
    <w:rsid w:val="003C676B"/>
    <w:rsid w:val="003C6830"/>
    <w:rsid w:val="003D228D"/>
    <w:rsid w:val="003D2ABC"/>
    <w:rsid w:val="003D2FD8"/>
    <w:rsid w:val="003D3BC2"/>
    <w:rsid w:val="003D767F"/>
    <w:rsid w:val="003D7C8E"/>
    <w:rsid w:val="003E036D"/>
    <w:rsid w:val="003E0EFE"/>
    <w:rsid w:val="003E36D2"/>
    <w:rsid w:val="003E6BE1"/>
    <w:rsid w:val="003E6CA1"/>
    <w:rsid w:val="003E7AE1"/>
    <w:rsid w:val="003F0BF9"/>
    <w:rsid w:val="003F25F9"/>
    <w:rsid w:val="003F65DA"/>
    <w:rsid w:val="003F6E68"/>
    <w:rsid w:val="003F6E98"/>
    <w:rsid w:val="003F7854"/>
    <w:rsid w:val="00400C84"/>
    <w:rsid w:val="00401920"/>
    <w:rsid w:val="004022A8"/>
    <w:rsid w:val="00402490"/>
    <w:rsid w:val="00402E42"/>
    <w:rsid w:val="00403E46"/>
    <w:rsid w:val="004065A8"/>
    <w:rsid w:val="00407F81"/>
    <w:rsid w:val="0041472D"/>
    <w:rsid w:val="00414C13"/>
    <w:rsid w:val="00415C22"/>
    <w:rsid w:val="004165C2"/>
    <w:rsid w:val="004216EC"/>
    <w:rsid w:val="004247BC"/>
    <w:rsid w:val="00424E62"/>
    <w:rsid w:val="00424F9E"/>
    <w:rsid w:val="0042631F"/>
    <w:rsid w:val="00427575"/>
    <w:rsid w:val="00427717"/>
    <w:rsid w:val="00430627"/>
    <w:rsid w:val="00430CF9"/>
    <w:rsid w:val="0043204B"/>
    <w:rsid w:val="00432C88"/>
    <w:rsid w:val="0043512C"/>
    <w:rsid w:val="00441ECB"/>
    <w:rsid w:val="00445193"/>
    <w:rsid w:val="00445AE4"/>
    <w:rsid w:val="00447346"/>
    <w:rsid w:val="00450E17"/>
    <w:rsid w:val="00453596"/>
    <w:rsid w:val="00454F61"/>
    <w:rsid w:val="004573C4"/>
    <w:rsid w:val="004611D5"/>
    <w:rsid w:val="00462C1B"/>
    <w:rsid w:val="00463B95"/>
    <w:rsid w:val="00463D2F"/>
    <w:rsid w:val="00467B7E"/>
    <w:rsid w:val="00473040"/>
    <w:rsid w:val="00473941"/>
    <w:rsid w:val="00473BB4"/>
    <w:rsid w:val="00477592"/>
    <w:rsid w:val="00477A92"/>
    <w:rsid w:val="00482064"/>
    <w:rsid w:val="00482C60"/>
    <w:rsid w:val="004839D7"/>
    <w:rsid w:val="00486F1C"/>
    <w:rsid w:val="00491057"/>
    <w:rsid w:val="00491509"/>
    <w:rsid w:val="00491FF0"/>
    <w:rsid w:val="0049419D"/>
    <w:rsid w:val="00495071"/>
    <w:rsid w:val="004A0EB6"/>
    <w:rsid w:val="004A32E4"/>
    <w:rsid w:val="004A42CE"/>
    <w:rsid w:val="004A44C5"/>
    <w:rsid w:val="004A590A"/>
    <w:rsid w:val="004A6A54"/>
    <w:rsid w:val="004A729F"/>
    <w:rsid w:val="004B32AF"/>
    <w:rsid w:val="004B56A5"/>
    <w:rsid w:val="004B7215"/>
    <w:rsid w:val="004C1590"/>
    <w:rsid w:val="004C20D2"/>
    <w:rsid w:val="004C2312"/>
    <w:rsid w:val="004C3DAE"/>
    <w:rsid w:val="004C4376"/>
    <w:rsid w:val="004C4B62"/>
    <w:rsid w:val="004C54C9"/>
    <w:rsid w:val="004D1777"/>
    <w:rsid w:val="004D2DC3"/>
    <w:rsid w:val="004D3CE9"/>
    <w:rsid w:val="004D4ABA"/>
    <w:rsid w:val="004D6025"/>
    <w:rsid w:val="004E2649"/>
    <w:rsid w:val="004E5942"/>
    <w:rsid w:val="004F14A9"/>
    <w:rsid w:val="004F458E"/>
    <w:rsid w:val="004F5409"/>
    <w:rsid w:val="004F7B5B"/>
    <w:rsid w:val="00500664"/>
    <w:rsid w:val="00501399"/>
    <w:rsid w:val="005016B4"/>
    <w:rsid w:val="00504007"/>
    <w:rsid w:val="00504F0F"/>
    <w:rsid w:val="0050633D"/>
    <w:rsid w:val="00506D99"/>
    <w:rsid w:val="00507164"/>
    <w:rsid w:val="00507BC4"/>
    <w:rsid w:val="005119F9"/>
    <w:rsid w:val="005128E4"/>
    <w:rsid w:val="00512E84"/>
    <w:rsid w:val="005133DB"/>
    <w:rsid w:val="0051380C"/>
    <w:rsid w:val="00513846"/>
    <w:rsid w:val="00513BDD"/>
    <w:rsid w:val="00514686"/>
    <w:rsid w:val="00514EEE"/>
    <w:rsid w:val="00517FF0"/>
    <w:rsid w:val="00520841"/>
    <w:rsid w:val="00522D72"/>
    <w:rsid w:val="00522F51"/>
    <w:rsid w:val="00525560"/>
    <w:rsid w:val="00525FC3"/>
    <w:rsid w:val="005262B1"/>
    <w:rsid w:val="0052644A"/>
    <w:rsid w:val="00526DC0"/>
    <w:rsid w:val="00527D3D"/>
    <w:rsid w:val="00530794"/>
    <w:rsid w:val="005316EF"/>
    <w:rsid w:val="00532DCD"/>
    <w:rsid w:val="00534F45"/>
    <w:rsid w:val="005363A9"/>
    <w:rsid w:val="00537490"/>
    <w:rsid w:val="00540F17"/>
    <w:rsid w:val="00542367"/>
    <w:rsid w:val="00544C49"/>
    <w:rsid w:val="00550CD6"/>
    <w:rsid w:val="005516A1"/>
    <w:rsid w:val="005579FD"/>
    <w:rsid w:val="00561893"/>
    <w:rsid w:val="00563557"/>
    <w:rsid w:val="005659F2"/>
    <w:rsid w:val="005660B9"/>
    <w:rsid w:val="00566CD4"/>
    <w:rsid w:val="00567E2F"/>
    <w:rsid w:val="00570C5B"/>
    <w:rsid w:val="00572CEE"/>
    <w:rsid w:val="0057402A"/>
    <w:rsid w:val="005771D0"/>
    <w:rsid w:val="00580746"/>
    <w:rsid w:val="00581E72"/>
    <w:rsid w:val="00586CE6"/>
    <w:rsid w:val="0059191A"/>
    <w:rsid w:val="00591E92"/>
    <w:rsid w:val="005921FF"/>
    <w:rsid w:val="005924AD"/>
    <w:rsid w:val="005924FE"/>
    <w:rsid w:val="00594C65"/>
    <w:rsid w:val="00595F30"/>
    <w:rsid w:val="00597A25"/>
    <w:rsid w:val="005A24ED"/>
    <w:rsid w:val="005A24F9"/>
    <w:rsid w:val="005A37EC"/>
    <w:rsid w:val="005A6D0E"/>
    <w:rsid w:val="005B285A"/>
    <w:rsid w:val="005B2A97"/>
    <w:rsid w:val="005B52B0"/>
    <w:rsid w:val="005B6806"/>
    <w:rsid w:val="005C0092"/>
    <w:rsid w:val="005C3098"/>
    <w:rsid w:val="005C4225"/>
    <w:rsid w:val="005C6C87"/>
    <w:rsid w:val="005D0CA4"/>
    <w:rsid w:val="005D276B"/>
    <w:rsid w:val="005D7480"/>
    <w:rsid w:val="005E22EE"/>
    <w:rsid w:val="005E3911"/>
    <w:rsid w:val="005E429F"/>
    <w:rsid w:val="005E6F8D"/>
    <w:rsid w:val="005F051A"/>
    <w:rsid w:val="005F0DAD"/>
    <w:rsid w:val="005F0F33"/>
    <w:rsid w:val="005F15A2"/>
    <w:rsid w:val="005F579D"/>
    <w:rsid w:val="005F61BE"/>
    <w:rsid w:val="005F6A94"/>
    <w:rsid w:val="005F7664"/>
    <w:rsid w:val="00600812"/>
    <w:rsid w:val="00600DEB"/>
    <w:rsid w:val="00603BA1"/>
    <w:rsid w:val="0060450C"/>
    <w:rsid w:val="00605365"/>
    <w:rsid w:val="006055BB"/>
    <w:rsid w:val="00607A0B"/>
    <w:rsid w:val="006132CC"/>
    <w:rsid w:val="00613CD0"/>
    <w:rsid w:val="00613D10"/>
    <w:rsid w:val="00614AAB"/>
    <w:rsid w:val="00616600"/>
    <w:rsid w:val="00621E1C"/>
    <w:rsid w:val="006220A8"/>
    <w:rsid w:val="00622E05"/>
    <w:rsid w:val="00624257"/>
    <w:rsid w:val="0062639C"/>
    <w:rsid w:val="00626A40"/>
    <w:rsid w:val="00627066"/>
    <w:rsid w:val="006276BB"/>
    <w:rsid w:val="00627C9F"/>
    <w:rsid w:val="0063011E"/>
    <w:rsid w:val="00630BD4"/>
    <w:rsid w:val="006311E9"/>
    <w:rsid w:val="00632354"/>
    <w:rsid w:val="006325B3"/>
    <w:rsid w:val="00632BFE"/>
    <w:rsid w:val="0063685A"/>
    <w:rsid w:val="00637C4F"/>
    <w:rsid w:val="00641CBA"/>
    <w:rsid w:val="00642810"/>
    <w:rsid w:val="00643279"/>
    <w:rsid w:val="00644D32"/>
    <w:rsid w:val="0064556D"/>
    <w:rsid w:val="00645F00"/>
    <w:rsid w:val="00647815"/>
    <w:rsid w:val="00650AF1"/>
    <w:rsid w:val="006514ED"/>
    <w:rsid w:val="00652333"/>
    <w:rsid w:val="00652E6C"/>
    <w:rsid w:val="00653312"/>
    <w:rsid w:val="006536B4"/>
    <w:rsid w:val="00657D63"/>
    <w:rsid w:val="00662EC7"/>
    <w:rsid w:val="0066449E"/>
    <w:rsid w:val="00664C7D"/>
    <w:rsid w:val="006655C5"/>
    <w:rsid w:val="006704C9"/>
    <w:rsid w:val="00670D03"/>
    <w:rsid w:val="006713EB"/>
    <w:rsid w:val="006724FB"/>
    <w:rsid w:val="00672EB2"/>
    <w:rsid w:val="00675483"/>
    <w:rsid w:val="0068009E"/>
    <w:rsid w:val="00683FBF"/>
    <w:rsid w:val="0068444A"/>
    <w:rsid w:val="00686806"/>
    <w:rsid w:val="00691488"/>
    <w:rsid w:val="00692219"/>
    <w:rsid w:val="00695A16"/>
    <w:rsid w:val="00697644"/>
    <w:rsid w:val="006A04E2"/>
    <w:rsid w:val="006A1215"/>
    <w:rsid w:val="006A17D2"/>
    <w:rsid w:val="006A3022"/>
    <w:rsid w:val="006A4A39"/>
    <w:rsid w:val="006A52E2"/>
    <w:rsid w:val="006A6665"/>
    <w:rsid w:val="006A73E6"/>
    <w:rsid w:val="006B1647"/>
    <w:rsid w:val="006B1E54"/>
    <w:rsid w:val="006B2D5C"/>
    <w:rsid w:val="006B3DB0"/>
    <w:rsid w:val="006C1B3E"/>
    <w:rsid w:val="006C2923"/>
    <w:rsid w:val="006C2CFC"/>
    <w:rsid w:val="006C397B"/>
    <w:rsid w:val="006C4EB1"/>
    <w:rsid w:val="006C6056"/>
    <w:rsid w:val="006C6114"/>
    <w:rsid w:val="006D0D5E"/>
    <w:rsid w:val="006D0E0A"/>
    <w:rsid w:val="006D192E"/>
    <w:rsid w:val="006D44B1"/>
    <w:rsid w:val="006D471E"/>
    <w:rsid w:val="006D5423"/>
    <w:rsid w:val="006D5ED0"/>
    <w:rsid w:val="006D633D"/>
    <w:rsid w:val="006D6FDF"/>
    <w:rsid w:val="006D7152"/>
    <w:rsid w:val="006E0166"/>
    <w:rsid w:val="006E427C"/>
    <w:rsid w:val="006E4B7C"/>
    <w:rsid w:val="006E59D7"/>
    <w:rsid w:val="006E60DC"/>
    <w:rsid w:val="006E6B5B"/>
    <w:rsid w:val="006E74DD"/>
    <w:rsid w:val="006E7B34"/>
    <w:rsid w:val="006F291E"/>
    <w:rsid w:val="006F2ED2"/>
    <w:rsid w:val="006F7679"/>
    <w:rsid w:val="007013E6"/>
    <w:rsid w:val="00702DF4"/>
    <w:rsid w:val="00704735"/>
    <w:rsid w:val="0070697F"/>
    <w:rsid w:val="007076D2"/>
    <w:rsid w:val="00711E24"/>
    <w:rsid w:val="00715AF0"/>
    <w:rsid w:val="00716324"/>
    <w:rsid w:val="00720EED"/>
    <w:rsid w:val="0072199C"/>
    <w:rsid w:val="00722528"/>
    <w:rsid w:val="00722C9F"/>
    <w:rsid w:val="00722E31"/>
    <w:rsid w:val="007239AE"/>
    <w:rsid w:val="007243A4"/>
    <w:rsid w:val="007253B8"/>
    <w:rsid w:val="00727168"/>
    <w:rsid w:val="00730CB3"/>
    <w:rsid w:val="007325D3"/>
    <w:rsid w:val="0073486C"/>
    <w:rsid w:val="00735369"/>
    <w:rsid w:val="00736E34"/>
    <w:rsid w:val="0073741F"/>
    <w:rsid w:val="00740943"/>
    <w:rsid w:val="0074134B"/>
    <w:rsid w:val="007424BE"/>
    <w:rsid w:val="00744777"/>
    <w:rsid w:val="007447C1"/>
    <w:rsid w:val="0074608C"/>
    <w:rsid w:val="00746DFA"/>
    <w:rsid w:val="00754F01"/>
    <w:rsid w:val="007550F0"/>
    <w:rsid w:val="00755D7F"/>
    <w:rsid w:val="007564E7"/>
    <w:rsid w:val="007578CB"/>
    <w:rsid w:val="007578DB"/>
    <w:rsid w:val="00761729"/>
    <w:rsid w:val="0076193D"/>
    <w:rsid w:val="00762BD0"/>
    <w:rsid w:val="0076643F"/>
    <w:rsid w:val="00774F93"/>
    <w:rsid w:val="00776A99"/>
    <w:rsid w:val="007774A4"/>
    <w:rsid w:val="007775F8"/>
    <w:rsid w:val="00777896"/>
    <w:rsid w:val="00777F63"/>
    <w:rsid w:val="00781C96"/>
    <w:rsid w:val="00781E7C"/>
    <w:rsid w:val="00782808"/>
    <w:rsid w:val="00783148"/>
    <w:rsid w:val="00784532"/>
    <w:rsid w:val="007856C3"/>
    <w:rsid w:val="00786D6F"/>
    <w:rsid w:val="0078718D"/>
    <w:rsid w:val="0078777E"/>
    <w:rsid w:val="00791931"/>
    <w:rsid w:val="007919A1"/>
    <w:rsid w:val="00795906"/>
    <w:rsid w:val="00797AFC"/>
    <w:rsid w:val="007A1E68"/>
    <w:rsid w:val="007A3483"/>
    <w:rsid w:val="007A41FF"/>
    <w:rsid w:val="007A4A52"/>
    <w:rsid w:val="007A5817"/>
    <w:rsid w:val="007B05C4"/>
    <w:rsid w:val="007B2295"/>
    <w:rsid w:val="007B3E9F"/>
    <w:rsid w:val="007B4636"/>
    <w:rsid w:val="007B5A5E"/>
    <w:rsid w:val="007B60E9"/>
    <w:rsid w:val="007B6CC3"/>
    <w:rsid w:val="007B7341"/>
    <w:rsid w:val="007B76D3"/>
    <w:rsid w:val="007C0269"/>
    <w:rsid w:val="007C1D55"/>
    <w:rsid w:val="007C26AE"/>
    <w:rsid w:val="007C3334"/>
    <w:rsid w:val="007C5F6E"/>
    <w:rsid w:val="007C7024"/>
    <w:rsid w:val="007D0183"/>
    <w:rsid w:val="007D1971"/>
    <w:rsid w:val="007D2B98"/>
    <w:rsid w:val="007D6BBC"/>
    <w:rsid w:val="007D7148"/>
    <w:rsid w:val="007E0986"/>
    <w:rsid w:val="007E1648"/>
    <w:rsid w:val="007E1C29"/>
    <w:rsid w:val="007E21BC"/>
    <w:rsid w:val="007E26C4"/>
    <w:rsid w:val="007E3700"/>
    <w:rsid w:val="007E4495"/>
    <w:rsid w:val="007E7C82"/>
    <w:rsid w:val="007F0F4E"/>
    <w:rsid w:val="007F1455"/>
    <w:rsid w:val="007F1F83"/>
    <w:rsid w:val="007F588D"/>
    <w:rsid w:val="007F5AAA"/>
    <w:rsid w:val="00801BE0"/>
    <w:rsid w:val="008028CA"/>
    <w:rsid w:val="00802B9E"/>
    <w:rsid w:val="008034E0"/>
    <w:rsid w:val="00803F1C"/>
    <w:rsid w:val="0080421B"/>
    <w:rsid w:val="008051A3"/>
    <w:rsid w:val="0080600E"/>
    <w:rsid w:val="00810A45"/>
    <w:rsid w:val="0081589B"/>
    <w:rsid w:val="008171DA"/>
    <w:rsid w:val="00817612"/>
    <w:rsid w:val="00820215"/>
    <w:rsid w:val="00820732"/>
    <w:rsid w:val="0082172A"/>
    <w:rsid w:val="008238C2"/>
    <w:rsid w:val="0082588E"/>
    <w:rsid w:val="00825C4C"/>
    <w:rsid w:val="008271E6"/>
    <w:rsid w:val="008302A3"/>
    <w:rsid w:val="00831549"/>
    <w:rsid w:val="008338A4"/>
    <w:rsid w:val="00834D49"/>
    <w:rsid w:val="0083747C"/>
    <w:rsid w:val="00837C45"/>
    <w:rsid w:val="008403E5"/>
    <w:rsid w:val="00844730"/>
    <w:rsid w:val="008457C2"/>
    <w:rsid w:val="00850886"/>
    <w:rsid w:val="00854FBD"/>
    <w:rsid w:val="00857A82"/>
    <w:rsid w:val="008604D2"/>
    <w:rsid w:val="008646E4"/>
    <w:rsid w:val="00865FA0"/>
    <w:rsid w:val="00870129"/>
    <w:rsid w:val="00870FE1"/>
    <w:rsid w:val="00873836"/>
    <w:rsid w:val="00875FA7"/>
    <w:rsid w:val="008805F3"/>
    <w:rsid w:val="0088168E"/>
    <w:rsid w:val="00884543"/>
    <w:rsid w:val="00884A98"/>
    <w:rsid w:val="00885737"/>
    <w:rsid w:val="00890650"/>
    <w:rsid w:val="008919E0"/>
    <w:rsid w:val="00897E12"/>
    <w:rsid w:val="008A4C14"/>
    <w:rsid w:val="008A7E0F"/>
    <w:rsid w:val="008B12F5"/>
    <w:rsid w:val="008C4D23"/>
    <w:rsid w:val="008D768D"/>
    <w:rsid w:val="008E1653"/>
    <w:rsid w:val="008E3759"/>
    <w:rsid w:val="008E3BFE"/>
    <w:rsid w:val="008F0678"/>
    <w:rsid w:val="008F12CE"/>
    <w:rsid w:val="008F1912"/>
    <w:rsid w:val="008F2441"/>
    <w:rsid w:val="008F3137"/>
    <w:rsid w:val="008F3521"/>
    <w:rsid w:val="008F4BB4"/>
    <w:rsid w:val="00900587"/>
    <w:rsid w:val="00901EC6"/>
    <w:rsid w:val="0090270B"/>
    <w:rsid w:val="0090285C"/>
    <w:rsid w:val="009041DC"/>
    <w:rsid w:val="00904528"/>
    <w:rsid w:val="0090453A"/>
    <w:rsid w:val="00904EEB"/>
    <w:rsid w:val="009126BC"/>
    <w:rsid w:val="00912FD4"/>
    <w:rsid w:val="009140B7"/>
    <w:rsid w:val="0091425C"/>
    <w:rsid w:val="00914CD0"/>
    <w:rsid w:val="00915054"/>
    <w:rsid w:val="00915C27"/>
    <w:rsid w:val="00917B5A"/>
    <w:rsid w:val="00920A58"/>
    <w:rsid w:val="00920A8C"/>
    <w:rsid w:val="00927613"/>
    <w:rsid w:val="00934A2C"/>
    <w:rsid w:val="00936FAC"/>
    <w:rsid w:val="00937CE4"/>
    <w:rsid w:val="00937FB3"/>
    <w:rsid w:val="00942722"/>
    <w:rsid w:val="00944021"/>
    <w:rsid w:val="00953D75"/>
    <w:rsid w:val="00957D66"/>
    <w:rsid w:val="009657EB"/>
    <w:rsid w:val="009665A1"/>
    <w:rsid w:val="00966963"/>
    <w:rsid w:val="0096706E"/>
    <w:rsid w:val="00973662"/>
    <w:rsid w:val="00974491"/>
    <w:rsid w:val="00974DD6"/>
    <w:rsid w:val="009756B8"/>
    <w:rsid w:val="00975C4E"/>
    <w:rsid w:val="009763F0"/>
    <w:rsid w:val="00977196"/>
    <w:rsid w:val="00980491"/>
    <w:rsid w:val="00981144"/>
    <w:rsid w:val="00981FBA"/>
    <w:rsid w:val="009830D7"/>
    <w:rsid w:val="009857EE"/>
    <w:rsid w:val="00986795"/>
    <w:rsid w:val="00992F9E"/>
    <w:rsid w:val="00997BC5"/>
    <w:rsid w:val="009A4F41"/>
    <w:rsid w:val="009A5026"/>
    <w:rsid w:val="009B1A39"/>
    <w:rsid w:val="009B381B"/>
    <w:rsid w:val="009B5848"/>
    <w:rsid w:val="009B5F66"/>
    <w:rsid w:val="009B6FA6"/>
    <w:rsid w:val="009B7794"/>
    <w:rsid w:val="009B7B39"/>
    <w:rsid w:val="009C6CA7"/>
    <w:rsid w:val="009C7A79"/>
    <w:rsid w:val="009D07EA"/>
    <w:rsid w:val="009D0FAE"/>
    <w:rsid w:val="009D1753"/>
    <w:rsid w:val="009D19F0"/>
    <w:rsid w:val="009D2C29"/>
    <w:rsid w:val="009D3AB4"/>
    <w:rsid w:val="009D51C5"/>
    <w:rsid w:val="009D7611"/>
    <w:rsid w:val="009E0B61"/>
    <w:rsid w:val="009E2517"/>
    <w:rsid w:val="009E53DE"/>
    <w:rsid w:val="009E561B"/>
    <w:rsid w:val="009E67B2"/>
    <w:rsid w:val="009E7E04"/>
    <w:rsid w:val="009F44F5"/>
    <w:rsid w:val="00A0451C"/>
    <w:rsid w:val="00A05E82"/>
    <w:rsid w:val="00A11212"/>
    <w:rsid w:val="00A1194F"/>
    <w:rsid w:val="00A11E44"/>
    <w:rsid w:val="00A16EC1"/>
    <w:rsid w:val="00A200D6"/>
    <w:rsid w:val="00A20DB6"/>
    <w:rsid w:val="00A233B1"/>
    <w:rsid w:val="00A32431"/>
    <w:rsid w:val="00A328B3"/>
    <w:rsid w:val="00A32C39"/>
    <w:rsid w:val="00A339FC"/>
    <w:rsid w:val="00A3565A"/>
    <w:rsid w:val="00A3704E"/>
    <w:rsid w:val="00A410A4"/>
    <w:rsid w:val="00A431C9"/>
    <w:rsid w:val="00A500E0"/>
    <w:rsid w:val="00A50FCF"/>
    <w:rsid w:val="00A528D1"/>
    <w:rsid w:val="00A538CC"/>
    <w:rsid w:val="00A53C7E"/>
    <w:rsid w:val="00A5784D"/>
    <w:rsid w:val="00A610CD"/>
    <w:rsid w:val="00A6435C"/>
    <w:rsid w:val="00A64DCB"/>
    <w:rsid w:val="00A66E88"/>
    <w:rsid w:val="00A73A9A"/>
    <w:rsid w:val="00A758AA"/>
    <w:rsid w:val="00A8196D"/>
    <w:rsid w:val="00A84BAC"/>
    <w:rsid w:val="00A8555F"/>
    <w:rsid w:val="00A9096D"/>
    <w:rsid w:val="00A92507"/>
    <w:rsid w:val="00A92661"/>
    <w:rsid w:val="00A92FBA"/>
    <w:rsid w:val="00A93BC7"/>
    <w:rsid w:val="00A95551"/>
    <w:rsid w:val="00A96937"/>
    <w:rsid w:val="00A977BE"/>
    <w:rsid w:val="00AA0265"/>
    <w:rsid w:val="00AA09A2"/>
    <w:rsid w:val="00AA2690"/>
    <w:rsid w:val="00AA3F80"/>
    <w:rsid w:val="00AA4598"/>
    <w:rsid w:val="00AA4BD8"/>
    <w:rsid w:val="00AA54AE"/>
    <w:rsid w:val="00AA6A05"/>
    <w:rsid w:val="00AA7996"/>
    <w:rsid w:val="00AB19B3"/>
    <w:rsid w:val="00AB240A"/>
    <w:rsid w:val="00AB348D"/>
    <w:rsid w:val="00AB5957"/>
    <w:rsid w:val="00AB5A28"/>
    <w:rsid w:val="00AB5D04"/>
    <w:rsid w:val="00AB67C6"/>
    <w:rsid w:val="00AC00A1"/>
    <w:rsid w:val="00AC19CB"/>
    <w:rsid w:val="00AC1D45"/>
    <w:rsid w:val="00AD124E"/>
    <w:rsid w:val="00AD3649"/>
    <w:rsid w:val="00AD58D6"/>
    <w:rsid w:val="00AD616E"/>
    <w:rsid w:val="00AE19FB"/>
    <w:rsid w:val="00AE2DA1"/>
    <w:rsid w:val="00AE5488"/>
    <w:rsid w:val="00AE55D2"/>
    <w:rsid w:val="00AE5E85"/>
    <w:rsid w:val="00AE6AE2"/>
    <w:rsid w:val="00AE6F91"/>
    <w:rsid w:val="00AF1C49"/>
    <w:rsid w:val="00AF38C8"/>
    <w:rsid w:val="00AF5571"/>
    <w:rsid w:val="00AF5917"/>
    <w:rsid w:val="00AF7204"/>
    <w:rsid w:val="00B00E37"/>
    <w:rsid w:val="00B01B2F"/>
    <w:rsid w:val="00B01D4E"/>
    <w:rsid w:val="00B02429"/>
    <w:rsid w:val="00B0351D"/>
    <w:rsid w:val="00B05DDB"/>
    <w:rsid w:val="00B07341"/>
    <w:rsid w:val="00B13163"/>
    <w:rsid w:val="00B13530"/>
    <w:rsid w:val="00B1565D"/>
    <w:rsid w:val="00B163F0"/>
    <w:rsid w:val="00B1654F"/>
    <w:rsid w:val="00B213AD"/>
    <w:rsid w:val="00B215BE"/>
    <w:rsid w:val="00B24D7E"/>
    <w:rsid w:val="00B27BE0"/>
    <w:rsid w:val="00B30539"/>
    <w:rsid w:val="00B314DB"/>
    <w:rsid w:val="00B32E42"/>
    <w:rsid w:val="00B361F2"/>
    <w:rsid w:val="00B367D3"/>
    <w:rsid w:val="00B3718B"/>
    <w:rsid w:val="00B406C0"/>
    <w:rsid w:val="00B43AD5"/>
    <w:rsid w:val="00B4632A"/>
    <w:rsid w:val="00B46893"/>
    <w:rsid w:val="00B520C0"/>
    <w:rsid w:val="00B53000"/>
    <w:rsid w:val="00B5308A"/>
    <w:rsid w:val="00B530F1"/>
    <w:rsid w:val="00B62DA5"/>
    <w:rsid w:val="00B64CD5"/>
    <w:rsid w:val="00B67625"/>
    <w:rsid w:val="00B71122"/>
    <w:rsid w:val="00B73492"/>
    <w:rsid w:val="00B74887"/>
    <w:rsid w:val="00B75AC3"/>
    <w:rsid w:val="00B82F91"/>
    <w:rsid w:val="00B83F2C"/>
    <w:rsid w:val="00B84334"/>
    <w:rsid w:val="00B84409"/>
    <w:rsid w:val="00B85F6F"/>
    <w:rsid w:val="00B8636A"/>
    <w:rsid w:val="00B87B9C"/>
    <w:rsid w:val="00B90432"/>
    <w:rsid w:val="00B93C13"/>
    <w:rsid w:val="00BA276C"/>
    <w:rsid w:val="00BA311C"/>
    <w:rsid w:val="00BA7A1C"/>
    <w:rsid w:val="00BB1657"/>
    <w:rsid w:val="00BB306F"/>
    <w:rsid w:val="00BB3CF4"/>
    <w:rsid w:val="00BB5EA5"/>
    <w:rsid w:val="00BC0583"/>
    <w:rsid w:val="00BC2AD7"/>
    <w:rsid w:val="00BC2AE8"/>
    <w:rsid w:val="00BD1591"/>
    <w:rsid w:val="00BD1EEF"/>
    <w:rsid w:val="00BD4B89"/>
    <w:rsid w:val="00BD5922"/>
    <w:rsid w:val="00BD5E69"/>
    <w:rsid w:val="00BD61ED"/>
    <w:rsid w:val="00BE13A0"/>
    <w:rsid w:val="00BE3664"/>
    <w:rsid w:val="00BE5912"/>
    <w:rsid w:val="00BE7AA1"/>
    <w:rsid w:val="00BF02CB"/>
    <w:rsid w:val="00BF4837"/>
    <w:rsid w:val="00BF5214"/>
    <w:rsid w:val="00BF64BE"/>
    <w:rsid w:val="00BF678A"/>
    <w:rsid w:val="00BF6FD8"/>
    <w:rsid w:val="00BF7C2B"/>
    <w:rsid w:val="00C02179"/>
    <w:rsid w:val="00C03680"/>
    <w:rsid w:val="00C054DF"/>
    <w:rsid w:val="00C10222"/>
    <w:rsid w:val="00C11766"/>
    <w:rsid w:val="00C14D4D"/>
    <w:rsid w:val="00C17CBC"/>
    <w:rsid w:val="00C20A16"/>
    <w:rsid w:val="00C21762"/>
    <w:rsid w:val="00C21FEF"/>
    <w:rsid w:val="00C22D5E"/>
    <w:rsid w:val="00C23335"/>
    <w:rsid w:val="00C2348C"/>
    <w:rsid w:val="00C24543"/>
    <w:rsid w:val="00C25166"/>
    <w:rsid w:val="00C2532D"/>
    <w:rsid w:val="00C256A2"/>
    <w:rsid w:val="00C30AA5"/>
    <w:rsid w:val="00C30CD3"/>
    <w:rsid w:val="00C31A8A"/>
    <w:rsid w:val="00C33B09"/>
    <w:rsid w:val="00C342D9"/>
    <w:rsid w:val="00C34491"/>
    <w:rsid w:val="00C35D17"/>
    <w:rsid w:val="00C362FD"/>
    <w:rsid w:val="00C42159"/>
    <w:rsid w:val="00C42657"/>
    <w:rsid w:val="00C42AC5"/>
    <w:rsid w:val="00C44D51"/>
    <w:rsid w:val="00C44DBA"/>
    <w:rsid w:val="00C4630A"/>
    <w:rsid w:val="00C50F90"/>
    <w:rsid w:val="00C51515"/>
    <w:rsid w:val="00C519EB"/>
    <w:rsid w:val="00C53C58"/>
    <w:rsid w:val="00C5416B"/>
    <w:rsid w:val="00C559E8"/>
    <w:rsid w:val="00C5660B"/>
    <w:rsid w:val="00C57851"/>
    <w:rsid w:val="00C62BEB"/>
    <w:rsid w:val="00C66B72"/>
    <w:rsid w:val="00C74006"/>
    <w:rsid w:val="00C76002"/>
    <w:rsid w:val="00C770F2"/>
    <w:rsid w:val="00C804E3"/>
    <w:rsid w:val="00C80E3E"/>
    <w:rsid w:val="00C82EDF"/>
    <w:rsid w:val="00C84A30"/>
    <w:rsid w:val="00C87AC4"/>
    <w:rsid w:val="00C9051A"/>
    <w:rsid w:val="00C94627"/>
    <w:rsid w:val="00C94ABE"/>
    <w:rsid w:val="00C9567A"/>
    <w:rsid w:val="00C96267"/>
    <w:rsid w:val="00C969C9"/>
    <w:rsid w:val="00CA1216"/>
    <w:rsid w:val="00CA38A1"/>
    <w:rsid w:val="00CA6017"/>
    <w:rsid w:val="00CA76B4"/>
    <w:rsid w:val="00CB212D"/>
    <w:rsid w:val="00CB2660"/>
    <w:rsid w:val="00CB2A8B"/>
    <w:rsid w:val="00CC2E4B"/>
    <w:rsid w:val="00CC38B7"/>
    <w:rsid w:val="00CC5E90"/>
    <w:rsid w:val="00CC798E"/>
    <w:rsid w:val="00CD046C"/>
    <w:rsid w:val="00CD18E0"/>
    <w:rsid w:val="00CD63EC"/>
    <w:rsid w:val="00CE076C"/>
    <w:rsid w:val="00CE42D9"/>
    <w:rsid w:val="00CE4CC9"/>
    <w:rsid w:val="00CE5199"/>
    <w:rsid w:val="00CE6459"/>
    <w:rsid w:val="00CE66D5"/>
    <w:rsid w:val="00CE7775"/>
    <w:rsid w:val="00CF006E"/>
    <w:rsid w:val="00CF0D5F"/>
    <w:rsid w:val="00CF26A3"/>
    <w:rsid w:val="00CF3C13"/>
    <w:rsid w:val="00CF4FD7"/>
    <w:rsid w:val="00CF560A"/>
    <w:rsid w:val="00CF637A"/>
    <w:rsid w:val="00CF7A44"/>
    <w:rsid w:val="00D04219"/>
    <w:rsid w:val="00D059DE"/>
    <w:rsid w:val="00D05ABD"/>
    <w:rsid w:val="00D05EB6"/>
    <w:rsid w:val="00D07FD0"/>
    <w:rsid w:val="00D12290"/>
    <w:rsid w:val="00D13FCE"/>
    <w:rsid w:val="00D15007"/>
    <w:rsid w:val="00D20C30"/>
    <w:rsid w:val="00D23AF2"/>
    <w:rsid w:val="00D25A9E"/>
    <w:rsid w:val="00D277C7"/>
    <w:rsid w:val="00D30639"/>
    <w:rsid w:val="00D306D1"/>
    <w:rsid w:val="00D30800"/>
    <w:rsid w:val="00D339AD"/>
    <w:rsid w:val="00D34786"/>
    <w:rsid w:val="00D34EC8"/>
    <w:rsid w:val="00D35BCF"/>
    <w:rsid w:val="00D37BFC"/>
    <w:rsid w:val="00D40293"/>
    <w:rsid w:val="00D40B4B"/>
    <w:rsid w:val="00D4145E"/>
    <w:rsid w:val="00D4419B"/>
    <w:rsid w:val="00D44723"/>
    <w:rsid w:val="00D45298"/>
    <w:rsid w:val="00D47A8E"/>
    <w:rsid w:val="00D5254B"/>
    <w:rsid w:val="00D52D14"/>
    <w:rsid w:val="00D52FD6"/>
    <w:rsid w:val="00D54BFE"/>
    <w:rsid w:val="00D576A3"/>
    <w:rsid w:val="00D610A1"/>
    <w:rsid w:val="00D6396E"/>
    <w:rsid w:val="00D63E50"/>
    <w:rsid w:val="00D712D3"/>
    <w:rsid w:val="00D71422"/>
    <w:rsid w:val="00D71544"/>
    <w:rsid w:val="00D722D2"/>
    <w:rsid w:val="00D72AF9"/>
    <w:rsid w:val="00D72DC6"/>
    <w:rsid w:val="00D7558D"/>
    <w:rsid w:val="00D8146F"/>
    <w:rsid w:val="00D81D92"/>
    <w:rsid w:val="00D835F3"/>
    <w:rsid w:val="00D876F9"/>
    <w:rsid w:val="00D909F8"/>
    <w:rsid w:val="00D90EF0"/>
    <w:rsid w:val="00D92B1C"/>
    <w:rsid w:val="00D9493B"/>
    <w:rsid w:val="00D96037"/>
    <w:rsid w:val="00D97C8E"/>
    <w:rsid w:val="00DA2C16"/>
    <w:rsid w:val="00DA4887"/>
    <w:rsid w:val="00DA4FCD"/>
    <w:rsid w:val="00DA5739"/>
    <w:rsid w:val="00DA58AD"/>
    <w:rsid w:val="00DA7B5F"/>
    <w:rsid w:val="00DB2C06"/>
    <w:rsid w:val="00DB3C08"/>
    <w:rsid w:val="00DB686E"/>
    <w:rsid w:val="00DC11E7"/>
    <w:rsid w:val="00DC30C6"/>
    <w:rsid w:val="00DC4262"/>
    <w:rsid w:val="00DC58AF"/>
    <w:rsid w:val="00DC5F5C"/>
    <w:rsid w:val="00DC7023"/>
    <w:rsid w:val="00DC769A"/>
    <w:rsid w:val="00DC76A9"/>
    <w:rsid w:val="00DC7E31"/>
    <w:rsid w:val="00DD0D22"/>
    <w:rsid w:val="00DD118B"/>
    <w:rsid w:val="00DD3D86"/>
    <w:rsid w:val="00DD4AD2"/>
    <w:rsid w:val="00DD59EB"/>
    <w:rsid w:val="00DE19D9"/>
    <w:rsid w:val="00DE1C60"/>
    <w:rsid w:val="00DE226D"/>
    <w:rsid w:val="00DE2BB4"/>
    <w:rsid w:val="00DE3503"/>
    <w:rsid w:val="00DE381E"/>
    <w:rsid w:val="00DE720D"/>
    <w:rsid w:val="00DF18C5"/>
    <w:rsid w:val="00DF1CB4"/>
    <w:rsid w:val="00DF1EC4"/>
    <w:rsid w:val="00DF35E6"/>
    <w:rsid w:val="00DF4939"/>
    <w:rsid w:val="00E0340B"/>
    <w:rsid w:val="00E034D3"/>
    <w:rsid w:val="00E04A90"/>
    <w:rsid w:val="00E04B2D"/>
    <w:rsid w:val="00E051BD"/>
    <w:rsid w:val="00E0551F"/>
    <w:rsid w:val="00E0682B"/>
    <w:rsid w:val="00E0702A"/>
    <w:rsid w:val="00E17331"/>
    <w:rsid w:val="00E1759A"/>
    <w:rsid w:val="00E20A73"/>
    <w:rsid w:val="00E20D35"/>
    <w:rsid w:val="00E219C7"/>
    <w:rsid w:val="00E23A40"/>
    <w:rsid w:val="00E30D9D"/>
    <w:rsid w:val="00E30E64"/>
    <w:rsid w:val="00E31038"/>
    <w:rsid w:val="00E32153"/>
    <w:rsid w:val="00E32A24"/>
    <w:rsid w:val="00E40A54"/>
    <w:rsid w:val="00E4118C"/>
    <w:rsid w:val="00E42A13"/>
    <w:rsid w:val="00E42E8C"/>
    <w:rsid w:val="00E43157"/>
    <w:rsid w:val="00E43199"/>
    <w:rsid w:val="00E44981"/>
    <w:rsid w:val="00E44AB4"/>
    <w:rsid w:val="00E461CE"/>
    <w:rsid w:val="00E47C3F"/>
    <w:rsid w:val="00E50317"/>
    <w:rsid w:val="00E50F45"/>
    <w:rsid w:val="00E52BD2"/>
    <w:rsid w:val="00E53336"/>
    <w:rsid w:val="00E53DE5"/>
    <w:rsid w:val="00E55B27"/>
    <w:rsid w:val="00E57A4F"/>
    <w:rsid w:val="00E61650"/>
    <w:rsid w:val="00E62846"/>
    <w:rsid w:val="00E6420B"/>
    <w:rsid w:val="00E71F6C"/>
    <w:rsid w:val="00E71FC3"/>
    <w:rsid w:val="00E720CA"/>
    <w:rsid w:val="00E741D4"/>
    <w:rsid w:val="00E75583"/>
    <w:rsid w:val="00E755D9"/>
    <w:rsid w:val="00E84EB5"/>
    <w:rsid w:val="00E8520A"/>
    <w:rsid w:val="00E85662"/>
    <w:rsid w:val="00E8789F"/>
    <w:rsid w:val="00E87E27"/>
    <w:rsid w:val="00E90D99"/>
    <w:rsid w:val="00E91272"/>
    <w:rsid w:val="00E97B71"/>
    <w:rsid w:val="00EA00C8"/>
    <w:rsid w:val="00EA045A"/>
    <w:rsid w:val="00EA2A3D"/>
    <w:rsid w:val="00EA37F3"/>
    <w:rsid w:val="00EA3D34"/>
    <w:rsid w:val="00EA46A3"/>
    <w:rsid w:val="00EA473B"/>
    <w:rsid w:val="00EA50AB"/>
    <w:rsid w:val="00EA67E2"/>
    <w:rsid w:val="00EA7F38"/>
    <w:rsid w:val="00EB1D53"/>
    <w:rsid w:val="00EB28B6"/>
    <w:rsid w:val="00EB454D"/>
    <w:rsid w:val="00EC1B10"/>
    <w:rsid w:val="00EC1C7C"/>
    <w:rsid w:val="00EC1D23"/>
    <w:rsid w:val="00EC3FD3"/>
    <w:rsid w:val="00EC60D2"/>
    <w:rsid w:val="00EC6D1A"/>
    <w:rsid w:val="00EC7D62"/>
    <w:rsid w:val="00ED536B"/>
    <w:rsid w:val="00ED549D"/>
    <w:rsid w:val="00ED6875"/>
    <w:rsid w:val="00ED76BE"/>
    <w:rsid w:val="00EE00E9"/>
    <w:rsid w:val="00EE01C2"/>
    <w:rsid w:val="00EE17B0"/>
    <w:rsid w:val="00EE1FBA"/>
    <w:rsid w:val="00EE28FC"/>
    <w:rsid w:val="00EF0671"/>
    <w:rsid w:val="00EF50A3"/>
    <w:rsid w:val="00EF619B"/>
    <w:rsid w:val="00F00B55"/>
    <w:rsid w:val="00F0176A"/>
    <w:rsid w:val="00F01D9C"/>
    <w:rsid w:val="00F02AD1"/>
    <w:rsid w:val="00F0303E"/>
    <w:rsid w:val="00F03C53"/>
    <w:rsid w:val="00F13A5E"/>
    <w:rsid w:val="00F14E2B"/>
    <w:rsid w:val="00F176D6"/>
    <w:rsid w:val="00F21589"/>
    <w:rsid w:val="00F216AF"/>
    <w:rsid w:val="00F22C2A"/>
    <w:rsid w:val="00F234D7"/>
    <w:rsid w:val="00F24C18"/>
    <w:rsid w:val="00F253CC"/>
    <w:rsid w:val="00F26BCA"/>
    <w:rsid w:val="00F275F4"/>
    <w:rsid w:val="00F2763F"/>
    <w:rsid w:val="00F27B60"/>
    <w:rsid w:val="00F33ADF"/>
    <w:rsid w:val="00F37106"/>
    <w:rsid w:val="00F37280"/>
    <w:rsid w:val="00F3785E"/>
    <w:rsid w:val="00F438C1"/>
    <w:rsid w:val="00F43AA9"/>
    <w:rsid w:val="00F50423"/>
    <w:rsid w:val="00F519CF"/>
    <w:rsid w:val="00F51ED8"/>
    <w:rsid w:val="00F524A3"/>
    <w:rsid w:val="00F56BA5"/>
    <w:rsid w:val="00F60E22"/>
    <w:rsid w:val="00F61FAD"/>
    <w:rsid w:val="00F650AC"/>
    <w:rsid w:val="00F7221F"/>
    <w:rsid w:val="00F809C6"/>
    <w:rsid w:val="00F81395"/>
    <w:rsid w:val="00F81BB8"/>
    <w:rsid w:val="00F83CFC"/>
    <w:rsid w:val="00F847A2"/>
    <w:rsid w:val="00F85AA7"/>
    <w:rsid w:val="00F8754D"/>
    <w:rsid w:val="00F917D1"/>
    <w:rsid w:val="00F91F8B"/>
    <w:rsid w:val="00F9653B"/>
    <w:rsid w:val="00F96DCF"/>
    <w:rsid w:val="00F97F4D"/>
    <w:rsid w:val="00FA0F06"/>
    <w:rsid w:val="00FA3357"/>
    <w:rsid w:val="00FA36AD"/>
    <w:rsid w:val="00FA440B"/>
    <w:rsid w:val="00FA63BB"/>
    <w:rsid w:val="00FA6837"/>
    <w:rsid w:val="00FA6C71"/>
    <w:rsid w:val="00FA7C8F"/>
    <w:rsid w:val="00FB1F13"/>
    <w:rsid w:val="00FB4EBE"/>
    <w:rsid w:val="00FB62CF"/>
    <w:rsid w:val="00FC1147"/>
    <w:rsid w:val="00FC2B4A"/>
    <w:rsid w:val="00FC38B2"/>
    <w:rsid w:val="00FD3C3B"/>
    <w:rsid w:val="00FD7800"/>
    <w:rsid w:val="00FE07DD"/>
    <w:rsid w:val="00FE0D64"/>
    <w:rsid w:val="00FE427E"/>
    <w:rsid w:val="00FE6B45"/>
    <w:rsid w:val="00FE720A"/>
    <w:rsid w:val="00FE7971"/>
    <w:rsid w:val="00FE79C8"/>
    <w:rsid w:val="00FF26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C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0A"/>
  </w:style>
  <w:style w:type="paragraph" w:styleId="Heading1">
    <w:name w:val="heading 1"/>
    <w:basedOn w:val="Normal"/>
    <w:next w:val="Normal"/>
    <w:link w:val="Heading1Char"/>
    <w:uiPriority w:val="9"/>
    <w:qFormat/>
    <w:rsid w:val="006D0E0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D0E0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D0E0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locked/>
    <w:rsid w:val="006D0E0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locked/>
    <w:rsid w:val="006D0E0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locked/>
    <w:rsid w:val="006D0E0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locked/>
    <w:rsid w:val="006D0E0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locked/>
    <w:rsid w:val="006D0E0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locked/>
    <w:rsid w:val="006D0E0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D0E0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locked/>
    <w:rsid w:val="006D0E0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locked/>
    <w:rsid w:val="006D0E0A"/>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rsid w:val="00BA311C"/>
    <w:rPr>
      <w:rFonts w:cs="Times New Roman"/>
      <w:u w:val="single"/>
    </w:rPr>
  </w:style>
  <w:style w:type="paragraph" w:customStyle="1" w:styleId="Cabeceraypie">
    <w:name w:val="Cabecera y pie"/>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A311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A311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A84BAC"/>
    <w:rPr>
      <w:rFonts w:cs="Times New Roman"/>
      <w:sz w:val="24"/>
      <w:szCs w:val="24"/>
      <w:lang w:val="en-US" w:eastAsia="en-US"/>
    </w:rPr>
  </w:style>
  <w:style w:type="paragraph" w:styleId="ListParagraph">
    <w:name w:val="List Paragraph"/>
    <w:basedOn w:val="Normal"/>
    <w:uiPriority w:val="34"/>
    <w:qFormat/>
    <w:rsid w:val="00BA311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2"/>
    <w:uiPriority w:val="99"/>
    <w:rsid w:val="00BA311C"/>
    <w:rPr>
      <w:rFonts w:ascii="Calibri"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locked/>
    <w:rsid w:val="00A84BAC"/>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71ED"/>
    <w:rPr>
      <w:rFonts w:cs="Times New Roman"/>
      <w:sz w:val="16"/>
      <w:szCs w:val="16"/>
    </w:rPr>
  </w:style>
  <w:style w:type="paragraph" w:styleId="CommentText">
    <w:name w:val="annotation text"/>
    <w:basedOn w:val="Normal"/>
    <w:link w:val="CommentTextChar"/>
    <w:uiPriority w:val="99"/>
    <w:semiHidden/>
    <w:rsid w:val="000771ED"/>
    <w:rPr>
      <w:sz w:val="20"/>
      <w:szCs w:val="20"/>
    </w:rPr>
  </w:style>
  <w:style w:type="character" w:customStyle="1" w:styleId="CommentTextChar">
    <w:name w:val="Comment Text Char"/>
    <w:basedOn w:val="DefaultParagraphFont"/>
    <w:link w:val="CommentText"/>
    <w:uiPriority w:val="99"/>
    <w:semiHidden/>
    <w:locked/>
    <w:rsid w:val="000771ED"/>
    <w:rPr>
      <w:rFonts w:cs="Times New Roman"/>
      <w:lang w:val="en-US" w:eastAsia="en-US"/>
    </w:rPr>
  </w:style>
  <w:style w:type="paragraph" w:styleId="CommentSubject">
    <w:name w:val="annotation subject"/>
    <w:basedOn w:val="CommentText"/>
    <w:next w:val="CommentText"/>
    <w:link w:val="CommentSubjectChar"/>
    <w:uiPriority w:val="99"/>
    <w:semiHidden/>
    <w:rsid w:val="000771ED"/>
    <w:rPr>
      <w:b/>
      <w:bCs/>
    </w:rPr>
  </w:style>
  <w:style w:type="character" w:customStyle="1" w:styleId="CommentSubjectChar">
    <w:name w:val="Comment Subject Char"/>
    <w:basedOn w:val="CommentTextChar"/>
    <w:link w:val="CommentSubject"/>
    <w:uiPriority w:val="99"/>
    <w:semiHidden/>
    <w:locked/>
    <w:rsid w:val="000771ED"/>
    <w:rPr>
      <w:rFonts w:cs="Times New Roman"/>
      <w:b/>
      <w:bCs/>
      <w:lang w:val="en-US" w:eastAsia="en-U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813D6"/>
    <w:rPr>
      <w:rFonts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32DCD"/>
    <w:rPr>
      <w:rFonts w:ascii="Calibri" w:hAnsi="Calibri"/>
      <w:color w:val="000000"/>
      <w:u w:color="000000"/>
      <w:lang w:val="en-US"/>
    </w:rPr>
  </w:style>
  <w:style w:type="numbering" w:customStyle="1" w:styleId="List16">
    <w:name w:val="List 16"/>
    <w:rsid w:val="003F4C67"/>
    <w:pPr>
      <w:numPr>
        <w:numId w:val="10"/>
      </w:numPr>
    </w:pPr>
  </w:style>
  <w:style w:type="numbering" w:customStyle="1" w:styleId="List36">
    <w:name w:val="List 36"/>
    <w:rsid w:val="003F4C67"/>
    <w:pPr>
      <w:numPr>
        <w:numId w:val="14"/>
      </w:numPr>
    </w:pPr>
  </w:style>
  <w:style w:type="numbering" w:customStyle="1" w:styleId="List25">
    <w:name w:val="List 25"/>
    <w:rsid w:val="003F4C67"/>
    <w:pPr>
      <w:numPr>
        <w:numId w:val="15"/>
      </w:numPr>
    </w:pPr>
  </w:style>
  <w:style w:type="numbering" w:customStyle="1" w:styleId="List1">
    <w:name w:val="List 1"/>
    <w:rsid w:val="003F4C67"/>
    <w:pPr>
      <w:numPr>
        <w:numId w:val="1"/>
      </w:numPr>
    </w:pPr>
  </w:style>
  <w:style w:type="numbering" w:customStyle="1" w:styleId="List11">
    <w:name w:val="List 11"/>
    <w:rsid w:val="003F4C67"/>
    <w:pPr>
      <w:numPr>
        <w:numId w:val="7"/>
      </w:numPr>
    </w:pPr>
  </w:style>
  <w:style w:type="numbering" w:customStyle="1" w:styleId="List15">
    <w:name w:val="List 15"/>
    <w:rsid w:val="003F4C67"/>
    <w:pPr>
      <w:numPr>
        <w:numId w:val="16"/>
      </w:numPr>
    </w:pPr>
  </w:style>
  <w:style w:type="numbering" w:customStyle="1" w:styleId="List14">
    <w:name w:val="List 14"/>
    <w:rsid w:val="003F4C67"/>
    <w:pPr>
      <w:numPr>
        <w:numId w:val="17"/>
      </w:numPr>
    </w:pPr>
  </w:style>
  <w:style w:type="numbering" w:customStyle="1" w:styleId="List23">
    <w:name w:val="List 23"/>
    <w:rsid w:val="003F4C67"/>
    <w:pPr>
      <w:numPr>
        <w:numId w:val="18"/>
      </w:numPr>
    </w:pPr>
  </w:style>
  <w:style w:type="numbering" w:customStyle="1" w:styleId="List19">
    <w:name w:val="List 19"/>
    <w:rsid w:val="003F4C67"/>
    <w:pPr>
      <w:numPr>
        <w:numId w:val="19"/>
      </w:numPr>
    </w:pPr>
  </w:style>
  <w:style w:type="numbering" w:customStyle="1" w:styleId="List45">
    <w:name w:val="List 45"/>
    <w:rsid w:val="003F4C67"/>
    <w:pPr>
      <w:numPr>
        <w:numId w:val="20"/>
      </w:numPr>
    </w:pPr>
  </w:style>
  <w:style w:type="numbering" w:customStyle="1" w:styleId="List40">
    <w:name w:val="List 40"/>
    <w:rsid w:val="003F4C67"/>
    <w:pPr>
      <w:numPr>
        <w:numId w:val="21"/>
      </w:numPr>
    </w:pPr>
  </w:style>
  <w:style w:type="numbering" w:customStyle="1" w:styleId="List9">
    <w:name w:val="List 9"/>
    <w:rsid w:val="003F4C67"/>
    <w:pPr>
      <w:numPr>
        <w:numId w:val="22"/>
      </w:numPr>
    </w:pPr>
  </w:style>
  <w:style w:type="numbering" w:customStyle="1" w:styleId="List43">
    <w:name w:val="List 43"/>
    <w:rsid w:val="003F4C67"/>
    <w:pPr>
      <w:numPr>
        <w:numId w:val="23"/>
      </w:numPr>
    </w:pPr>
  </w:style>
  <w:style w:type="numbering" w:customStyle="1" w:styleId="List46">
    <w:name w:val="List 46"/>
    <w:rsid w:val="003F4C67"/>
    <w:pPr>
      <w:numPr>
        <w:numId w:val="24"/>
      </w:numPr>
    </w:pPr>
  </w:style>
  <w:style w:type="numbering" w:customStyle="1" w:styleId="List35">
    <w:name w:val="List 35"/>
    <w:rsid w:val="003F4C67"/>
    <w:pPr>
      <w:numPr>
        <w:numId w:val="8"/>
      </w:numPr>
    </w:pPr>
  </w:style>
  <w:style w:type="numbering" w:customStyle="1" w:styleId="List17">
    <w:name w:val="List 17"/>
    <w:rsid w:val="003F4C67"/>
    <w:pPr>
      <w:numPr>
        <w:numId w:val="25"/>
      </w:numPr>
    </w:pPr>
  </w:style>
  <w:style w:type="numbering" w:customStyle="1" w:styleId="List33">
    <w:name w:val="List 33"/>
    <w:rsid w:val="003F4C67"/>
    <w:pPr>
      <w:numPr>
        <w:numId w:val="26"/>
      </w:numPr>
    </w:pPr>
  </w:style>
  <w:style w:type="numbering" w:customStyle="1" w:styleId="List7">
    <w:name w:val="List 7"/>
    <w:rsid w:val="003F4C67"/>
    <w:pPr>
      <w:numPr>
        <w:numId w:val="4"/>
      </w:numPr>
    </w:pPr>
  </w:style>
  <w:style w:type="numbering" w:customStyle="1" w:styleId="List18">
    <w:name w:val="List 18"/>
    <w:rsid w:val="003F4C67"/>
    <w:pPr>
      <w:numPr>
        <w:numId w:val="27"/>
      </w:numPr>
    </w:pPr>
  </w:style>
  <w:style w:type="numbering" w:customStyle="1" w:styleId="List22">
    <w:name w:val="List 22"/>
    <w:rsid w:val="003F4C67"/>
    <w:pPr>
      <w:numPr>
        <w:numId w:val="28"/>
      </w:numPr>
    </w:pPr>
  </w:style>
  <w:style w:type="numbering" w:customStyle="1" w:styleId="List47">
    <w:name w:val="List 47"/>
    <w:rsid w:val="003F4C67"/>
    <w:pPr>
      <w:numPr>
        <w:numId w:val="29"/>
      </w:numPr>
    </w:pPr>
  </w:style>
  <w:style w:type="numbering" w:customStyle="1" w:styleId="List28">
    <w:name w:val="List 28"/>
    <w:rsid w:val="003F4C67"/>
    <w:pPr>
      <w:numPr>
        <w:numId w:val="30"/>
      </w:numPr>
    </w:pPr>
  </w:style>
  <w:style w:type="numbering" w:customStyle="1" w:styleId="List10">
    <w:name w:val="List 10"/>
    <w:rsid w:val="003F4C67"/>
    <w:pPr>
      <w:numPr>
        <w:numId w:val="6"/>
      </w:numPr>
    </w:pPr>
  </w:style>
  <w:style w:type="numbering" w:customStyle="1" w:styleId="List0">
    <w:name w:val="List 0"/>
    <w:rsid w:val="003F4C67"/>
    <w:pPr>
      <w:numPr>
        <w:numId w:val="31"/>
      </w:numPr>
    </w:pPr>
  </w:style>
  <w:style w:type="numbering" w:customStyle="1" w:styleId="List30">
    <w:name w:val="List 30"/>
    <w:rsid w:val="003F4C67"/>
    <w:pPr>
      <w:numPr>
        <w:numId w:val="32"/>
      </w:numPr>
    </w:pPr>
  </w:style>
  <w:style w:type="numbering" w:customStyle="1" w:styleId="List29">
    <w:name w:val="List 29"/>
    <w:rsid w:val="003F4C67"/>
    <w:pPr>
      <w:numPr>
        <w:numId w:val="34"/>
      </w:numPr>
    </w:pPr>
  </w:style>
  <w:style w:type="numbering" w:customStyle="1" w:styleId="List38">
    <w:name w:val="List 38"/>
    <w:rsid w:val="003F4C67"/>
    <w:pPr>
      <w:numPr>
        <w:numId w:val="35"/>
      </w:numPr>
    </w:pPr>
  </w:style>
  <w:style w:type="numbering" w:customStyle="1" w:styleId="List12">
    <w:name w:val="List 12"/>
    <w:rsid w:val="003F4C67"/>
    <w:pPr>
      <w:numPr>
        <w:numId w:val="36"/>
      </w:numPr>
    </w:pPr>
  </w:style>
  <w:style w:type="numbering" w:customStyle="1" w:styleId="List50">
    <w:name w:val="List 50"/>
    <w:rsid w:val="003F4C67"/>
    <w:pPr>
      <w:numPr>
        <w:numId w:val="37"/>
      </w:numPr>
    </w:pPr>
  </w:style>
  <w:style w:type="numbering" w:customStyle="1" w:styleId="List34">
    <w:name w:val="List 34"/>
    <w:rsid w:val="003F4C67"/>
    <w:pPr>
      <w:numPr>
        <w:numId w:val="11"/>
      </w:numPr>
    </w:pPr>
  </w:style>
  <w:style w:type="numbering" w:customStyle="1" w:styleId="List42">
    <w:name w:val="List 42"/>
    <w:rsid w:val="003F4C67"/>
    <w:pPr>
      <w:numPr>
        <w:numId w:val="12"/>
      </w:numPr>
    </w:pPr>
  </w:style>
  <w:style w:type="numbering" w:customStyle="1" w:styleId="List49">
    <w:name w:val="List 49"/>
    <w:rsid w:val="003F4C67"/>
    <w:pPr>
      <w:numPr>
        <w:numId w:val="39"/>
      </w:numPr>
    </w:pPr>
  </w:style>
  <w:style w:type="numbering" w:customStyle="1" w:styleId="List44">
    <w:name w:val="List 44"/>
    <w:rsid w:val="003F4C67"/>
    <w:pPr>
      <w:numPr>
        <w:numId w:val="40"/>
      </w:numPr>
    </w:pPr>
  </w:style>
  <w:style w:type="numbering" w:customStyle="1" w:styleId="List21">
    <w:name w:val="List 21"/>
    <w:rsid w:val="003F4C67"/>
    <w:pPr>
      <w:numPr>
        <w:numId w:val="52"/>
      </w:numPr>
    </w:pPr>
  </w:style>
  <w:style w:type="numbering" w:customStyle="1" w:styleId="List52">
    <w:name w:val="List 52"/>
    <w:rsid w:val="003F4C67"/>
    <w:pPr>
      <w:numPr>
        <w:numId w:val="9"/>
      </w:numPr>
    </w:pPr>
  </w:style>
  <w:style w:type="numbering" w:customStyle="1" w:styleId="List24">
    <w:name w:val="List 24"/>
    <w:rsid w:val="003F4C67"/>
    <w:pPr>
      <w:numPr>
        <w:numId w:val="13"/>
      </w:numPr>
    </w:pPr>
  </w:style>
  <w:style w:type="numbering" w:customStyle="1" w:styleId="List51">
    <w:name w:val="List 51"/>
    <w:rsid w:val="003F4C67"/>
    <w:pPr>
      <w:numPr>
        <w:numId w:val="54"/>
      </w:numPr>
    </w:pPr>
  </w:style>
  <w:style w:type="numbering" w:customStyle="1" w:styleId="List27">
    <w:name w:val="List 27"/>
    <w:rsid w:val="003F4C67"/>
    <w:pPr>
      <w:numPr>
        <w:numId w:val="41"/>
      </w:numPr>
    </w:pPr>
  </w:style>
  <w:style w:type="numbering" w:customStyle="1" w:styleId="List8">
    <w:name w:val="List 8"/>
    <w:rsid w:val="003F4C67"/>
    <w:pPr>
      <w:numPr>
        <w:numId w:val="5"/>
      </w:numPr>
    </w:pPr>
  </w:style>
  <w:style w:type="numbering" w:customStyle="1" w:styleId="List13">
    <w:name w:val="List 13"/>
    <w:rsid w:val="003F4C67"/>
    <w:pPr>
      <w:numPr>
        <w:numId w:val="42"/>
      </w:numPr>
    </w:pPr>
  </w:style>
  <w:style w:type="numbering" w:customStyle="1" w:styleId="List20">
    <w:name w:val="List 20"/>
    <w:rsid w:val="003F4C67"/>
    <w:pPr>
      <w:numPr>
        <w:numId w:val="43"/>
      </w:numPr>
    </w:pPr>
  </w:style>
  <w:style w:type="numbering" w:customStyle="1" w:styleId="List41">
    <w:name w:val="List 41"/>
    <w:rsid w:val="003F4C67"/>
    <w:pPr>
      <w:numPr>
        <w:numId w:val="44"/>
      </w:numPr>
    </w:pPr>
  </w:style>
  <w:style w:type="numbering" w:customStyle="1" w:styleId="List31">
    <w:name w:val="List 31"/>
    <w:rsid w:val="003F4C67"/>
    <w:pPr>
      <w:numPr>
        <w:numId w:val="45"/>
      </w:numPr>
    </w:pPr>
  </w:style>
  <w:style w:type="numbering" w:customStyle="1" w:styleId="List6">
    <w:name w:val="List 6"/>
    <w:rsid w:val="003F4C67"/>
    <w:pPr>
      <w:numPr>
        <w:numId w:val="3"/>
      </w:numPr>
    </w:pPr>
  </w:style>
  <w:style w:type="numbering" w:customStyle="1" w:styleId="List39">
    <w:name w:val="List 39"/>
    <w:rsid w:val="003F4C67"/>
    <w:pPr>
      <w:numPr>
        <w:numId w:val="46"/>
      </w:numPr>
    </w:pPr>
  </w:style>
  <w:style w:type="numbering" w:customStyle="1" w:styleId="List37">
    <w:name w:val="List 37"/>
    <w:rsid w:val="003F4C67"/>
    <w:pPr>
      <w:numPr>
        <w:numId w:val="47"/>
      </w:numPr>
    </w:pPr>
  </w:style>
  <w:style w:type="numbering" w:customStyle="1" w:styleId="List32">
    <w:name w:val="List 32"/>
    <w:rsid w:val="003F4C67"/>
    <w:pPr>
      <w:numPr>
        <w:numId w:val="48"/>
      </w:numPr>
    </w:pPr>
  </w:style>
  <w:style w:type="numbering" w:customStyle="1" w:styleId="List26">
    <w:name w:val="List 26"/>
    <w:rsid w:val="003F4C67"/>
    <w:pPr>
      <w:numPr>
        <w:numId w:val="49"/>
      </w:numPr>
    </w:pPr>
  </w:style>
  <w:style w:type="numbering" w:customStyle="1" w:styleId="List48">
    <w:name w:val="List 48"/>
    <w:rsid w:val="003F4C67"/>
    <w:pPr>
      <w:numPr>
        <w:numId w:val="50"/>
      </w:numPr>
    </w:pPr>
  </w:style>
  <w:style w:type="paragraph" w:styleId="Revision">
    <w:name w:val="Revision"/>
    <w:hidden/>
    <w:uiPriority w:val="99"/>
    <w:semiHidden/>
    <w:rsid w:val="0036390A"/>
    <w:rPr>
      <w:sz w:val="24"/>
      <w:szCs w:val="24"/>
      <w:lang w:val="en-US" w:eastAsia="en-US"/>
    </w:rPr>
  </w:style>
  <w:style w:type="character" w:customStyle="1" w:styleId="Heading4Char">
    <w:name w:val="Heading 4 Char"/>
    <w:basedOn w:val="DefaultParagraphFont"/>
    <w:link w:val="Heading4"/>
    <w:uiPriority w:val="9"/>
    <w:semiHidden/>
    <w:rsid w:val="006D0E0A"/>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D0E0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D0E0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D0E0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D0E0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D0E0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locked/>
    <w:rsid w:val="006D0E0A"/>
    <w:pPr>
      <w:spacing w:line="240" w:lineRule="auto"/>
    </w:pPr>
    <w:rPr>
      <w:b/>
      <w:bCs/>
      <w:smallCaps/>
      <w:color w:val="1F497D" w:themeColor="text2"/>
    </w:rPr>
  </w:style>
  <w:style w:type="paragraph" w:styleId="Title">
    <w:name w:val="Title"/>
    <w:basedOn w:val="Normal"/>
    <w:next w:val="Normal"/>
    <w:link w:val="TitleChar"/>
    <w:uiPriority w:val="10"/>
    <w:qFormat/>
    <w:locked/>
    <w:rsid w:val="006D0E0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D0E0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locked/>
    <w:rsid w:val="006D0E0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D0E0A"/>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locked/>
    <w:rsid w:val="006D0E0A"/>
    <w:rPr>
      <w:b/>
      <w:bCs/>
    </w:rPr>
  </w:style>
  <w:style w:type="character" w:styleId="Emphasis">
    <w:name w:val="Emphasis"/>
    <w:basedOn w:val="DefaultParagraphFont"/>
    <w:uiPriority w:val="20"/>
    <w:qFormat/>
    <w:locked/>
    <w:rsid w:val="006D0E0A"/>
    <w:rPr>
      <w:i/>
      <w:iCs/>
    </w:rPr>
  </w:style>
  <w:style w:type="paragraph" w:styleId="NoSpacing">
    <w:name w:val="No Spacing"/>
    <w:uiPriority w:val="1"/>
    <w:qFormat/>
    <w:rsid w:val="006D0E0A"/>
    <w:pPr>
      <w:spacing w:after="0" w:line="240" w:lineRule="auto"/>
    </w:pPr>
  </w:style>
  <w:style w:type="paragraph" w:styleId="Quote">
    <w:name w:val="Quote"/>
    <w:basedOn w:val="Normal"/>
    <w:next w:val="Normal"/>
    <w:link w:val="QuoteChar"/>
    <w:uiPriority w:val="29"/>
    <w:qFormat/>
    <w:rsid w:val="006D0E0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D0E0A"/>
    <w:rPr>
      <w:color w:val="1F497D" w:themeColor="text2"/>
      <w:sz w:val="24"/>
      <w:szCs w:val="24"/>
    </w:rPr>
  </w:style>
  <w:style w:type="paragraph" w:styleId="IntenseQuote">
    <w:name w:val="Intense Quote"/>
    <w:basedOn w:val="Normal"/>
    <w:next w:val="Normal"/>
    <w:link w:val="IntenseQuoteChar"/>
    <w:uiPriority w:val="30"/>
    <w:qFormat/>
    <w:rsid w:val="006D0E0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D0E0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D0E0A"/>
    <w:rPr>
      <w:i/>
      <w:iCs/>
      <w:color w:val="595959" w:themeColor="text1" w:themeTint="A6"/>
    </w:rPr>
  </w:style>
  <w:style w:type="character" w:styleId="IntenseEmphasis">
    <w:name w:val="Intense Emphasis"/>
    <w:basedOn w:val="DefaultParagraphFont"/>
    <w:uiPriority w:val="21"/>
    <w:qFormat/>
    <w:rsid w:val="006D0E0A"/>
    <w:rPr>
      <w:b/>
      <w:bCs/>
      <w:i/>
      <w:iCs/>
    </w:rPr>
  </w:style>
  <w:style w:type="character" w:styleId="SubtleReference">
    <w:name w:val="Subtle Reference"/>
    <w:basedOn w:val="DefaultParagraphFont"/>
    <w:uiPriority w:val="31"/>
    <w:qFormat/>
    <w:rsid w:val="006D0E0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D0E0A"/>
    <w:rPr>
      <w:b/>
      <w:bCs/>
      <w:smallCaps/>
      <w:color w:val="1F497D" w:themeColor="text2"/>
      <w:u w:val="single"/>
    </w:rPr>
  </w:style>
  <w:style w:type="character" w:styleId="BookTitle">
    <w:name w:val="Book Title"/>
    <w:basedOn w:val="DefaultParagraphFont"/>
    <w:uiPriority w:val="33"/>
    <w:qFormat/>
    <w:rsid w:val="006D0E0A"/>
    <w:rPr>
      <w:b/>
      <w:bCs/>
      <w:smallCaps/>
      <w:spacing w:val="10"/>
    </w:rPr>
  </w:style>
  <w:style w:type="paragraph" w:styleId="TOCHeading">
    <w:name w:val="TOC Heading"/>
    <w:basedOn w:val="Heading1"/>
    <w:next w:val="Normal"/>
    <w:uiPriority w:val="39"/>
    <w:semiHidden/>
    <w:unhideWhenUsed/>
    <w:qFormat/>
    <w:rsid w:val="006D0E0A"/>
    <w:pPr>
      <w:outlineLvl w:val="9"/>
    </w:pPr>
  </w:style>
  <w:style w:type="character" w:customStyle="1" w:styleId="normaltextrun">
    <w:name w:val="normaltextrun"/>
    <w:basedOn w:val="DefaultParagraphFont"/>
    <w:rsid w:val="005E429F"/>
  </w:style>
  <w:style w:type="paragraph" w:customStyle="1" w:styleId="paragraph">
    <w:name w:val="paragraph"/>
    <w:basedOn w:val="Normal"/>
    <w:rsid w:val="00597A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597A25"/>
  </w:style>
  <w:style w:type="character" w:customStyle="1" w:styleId="tabchar">
    <w:name w:val="tabchar"/>
    <w:basedOn w:val="DefaultParagraphFont"/>
    <w:rsid w:val="0059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892">
      <w:bodyDiv w:val="1"/>
      <w:marLeft w:val="0"/>
      <w:marRight w:val="0"/>
      <w:marTop w:val="0"/>
      <w:marBottom w:val="0"/>
      <w:divBdr>
        <w:top w:val="none" w:sz="0" w:space="0" w:color="auto"/>
        <w:left w:val="none" w:sz="0" w:space="0" w:color="auto"/>
        <w:bottom w:val="none" w:sz="0" w:space="0" w:color="auto"/>
        <w:right w:val="none" w:sz="0" w:space="0" w:color="auto"/>
      </w:divBdr>
      <w:divsChild>
        <w:div w:id="76639268">
          <w:marLeft w:val="0"/>
          <w:marRight w:val="0"/>
          <w:marTop w:val="0"/>
          <w:marBottom w:val="0"/>
          <w:divBdr>
            <w:top w:val="none" w:sz="0" w:space="0" w:color="auto"/>
            <w:left w:val="none" w:sz="0" w:space="0" w:color="auto"/>
            <w:bottom w:val="none" w:sz="0" w:space="0" w:color="auto"/>
            <w:right w:val="none" w:sz="0" w:space="0" w:color="auto"/>
          </w:divBdr>
        </w:div>
        <w:div w:id="120654391">
          <w:marLeft w:val="0"/>
          <w:marRight w:val="0"/>
          <w:marTop w:val="0"/>
          <w:marBottom w:val="0"/>
          <w:divBdr>
            <w:top w:val="none" w:sz="0" w:space="0" w:color="auto"/>
            <w:left w:val="none" w:sz="0" w:space="0" w:color="auto"/>
            <w:bottom w:val="none" w:sz="0" w:space="0" w:color="auto"/>
            <w:right w:val="none" w:sz="0" w:space="0" w:color="auto"/>
          </w:divBdr>
        </w:div>
        <w:div w:id="163863555">
          <w:marLeft w:val="0"/>
          <w:marRight w:val="0"/>
          <w:marTop w:val="0"/>
          <w:marBottom w:val="0"/>
          <w:divBdr>
            <w:top w:val="none" w:sz="0" w:space="0" w:color="auto"/>
            <w:left w:val="none" w:sz="0" w:space="0" w:color="auto"/>
            <w:bottom w:val="none" w:sz="0" w:space="0" w:color="auto"/>
            <w:right w:val="none" w:sz="0" w:space="0" w:color="auto"/>
          </w:divBdr>
        </w:div>
        <w:div w:id="305166383">
          <w:marLeft w:val="0"/>
          <w:marRight w:val="0"/>
          <w:marTop w:val="0"/>
          <w:marBottom w:val="0"/>
          <w:divBdr>
            <w:top w:val="none" w:sz="0" w:space="0" w:color="auto"/>
            <w:left w:val="none" w:sz="0" w:space="0" w:color="auto"/>
            <w:bottom w:val="none" w:sz="0" w:space="0" w:color="auto"/>
            <w:right w:val="none" w:sz="0" w:space="0" w:color="auto"/>
          </w:divBdr>
        </w:div>
        <w:div w:id="345525283">
          <w:marLeft w:val="0"/>
          <w:marRight w:val="0"/>
          <w:marTop w:val="0"/>
          <w:marBottom w:val="0"/>
          <w:divBdr>
            <w:top w:val="none" w:sz="0" w:space="0" w:color="auto"/>
            <w:left w:val="none" w:sz="0" w:space="0" w:color="auto"/>
            <w:bottom w:val="none" w:sz="0" w:space="0" w:color="auto"/>
            <w:right w:val="none" w:sz="0" w:space="0" w:color="auto"/>
          </w:divBdr>
        </w:div>
        <w:div w:id="406196275">
          <w:marLeft w:val="0"/>
          <w:marRight w:val="0"/>
          <w:marTop w:val="0"/>
          <w:marBottom w:val="0"/>
          <w:divBdr>
            <w:top w:val="none" w:sz="0" w:space="0" w:color="auto"/>
            <w:left w:val="none" w:sz="0" w:space="0" w:color="auto"/>
            <w:bottom w:val="none" w:sz="0" w:space="0" w:color="auto"/>
            <w:right w:val="none" w:sz="0" w:space="0" w:color="auto"/>
          </w:divBdr>
        </w:div>
        <w:div w:id="505092818">
          <w:marLeft w:val="0"/>
          <w:marRight w:val="0"/>
          <w:marTop w:val="0"/>
          <w:marBottom w:val="0"/>
          <w:divBdr>
            <w:top w:val="none" w:sz="0" w:space="0" w:color="auto"/>
            <w:left w:val="none" w:sz="0" w:space="0" w:color="auto"/>
            <w:bottom w:val="none" w:sz="0" w:space="0" w:color="auto"/>
            <w:right w:val="none" w:sz="0" w:space="0" w:color="auto"/>
          </w:divBdr>
        </w:div>
        <w:div w:id="542140425">
          <w:marLeft w:val="0"/>
          <w:marRight w:val="0"/>
          <w:marTop w:val="0"/>
          <w:marBottom w:val="0"/>
          <w:divBdr>
            <w:top w:val="none" w:sz="0" w:space="0" w:color="auto"/>
            <w:left w:val="none" w:sz="0" w:space="0" w:color="auto"/>
            <w:bottom w:val="none" w:sz="0" w:space="0" w:color="auto"/>
            <w:right w:val="none" w:sz="0" w:space="0" w:color="auto"/>
          </w:divBdr>
        </w:div>
        <w:div w:id="864631250">
          <w:marLeft w:val="0"/>
          <w:marRight w:val="0"/>
          <w:marTop w:val="0"/>
          <w:marBottom w:val="0"/>
          <w:divBdr>
            <w:top w:val="none" w:sz="0" w:space="0" w:color="auto"/>
            <w:left w:val="none" w:sz="0" w:space="0" w:color="auto"/>
            <w:bottom w:val="none" w:sz="0" w:space="0" w:color="auto"/>
            <w:right w:val="none" w:sz="0" w:space="0" w:color="auto"/>
          </w:divBdr>
        </w:div>
        <w:div w:id="1015107561">
          <w:marLeft w:val="0"/>
          <w:marRight w:val="0"/>
          <w:marTop w:val="0"/>
          <w:marBottom w:val="0"/>
          <w:divBdr>
            <w:top w:val="none" w:sz="0" w:space="0" w:color="auto"/>
            <w:left w:val="none" w:sz="0" w:space="0" w:color="auto"/>
            <w:bottom w:val="none" w:sz="0" w:space="0" w:color="auto"/>
            <w:right w:val="none" w:sz="0" w:space="0" w:color="auto"/>
          </w:divBdr>
        </w:div>
        <w:div w:id="1087583058">
          <w:marLeft w:val="0"/>
          <w:marRight w:val="0"/>
          <w:marTop w:val="0"/>
          <w:marBottom w:val="0"/>
          <w:divBdr>
            <w:top w:val="none" w:sz="0" w:space="0" w:color="auto"/>
            <w:left w:val="none" w:sz="0" w:space="0" w:color="auto"/>
            <w:bottom w:val="none" w:sz="0" w:space="0" w:color="auto"/>
            <w:right w:val="none" w:sz="0" w:space="0" w:color="auto"/>
          </w:divBdr>
        </w:div>
        <w:div w:id="1119298041">
          <w:marLeft w:val="0"/>
          <w:marRight w:val="0"/>
          <w:marTop w:val="0"/>
          <w:marBottom w:val="0"/>
          <w:divBdr>
            <w:top w:val="none" w:sz="0" w:space="0" w:color="auto"/>
            <w:left w:val="none" w:sz="0" w:space="0" w:color="auto"/>
            <w:bottom w:val="none" w:sz="0" w:space="0" w:color="auto"/>
            <w:right w:val="none" w:sz="0" w:space="0" w:color="auto"/>
          </w:divBdr>
        </w:div>
        <w:div w:id="1176842383">
          <w:marLeft w:val="0"/>
          <w:marRight w:val="0"/>
          <w:marTop w:val="0"/>
          <w:marBottom w:val="0"/>
          <w:divBdr>
            <w:top w:val="none" w:sz="0" w:space="0" w:color="auto"/>
            <w:left w:val="none" w:sz="0" w:space="0" w:color="auto"/>
            <w:bottom w:val="none" w:sz="0" w:space="0" w:color="auto"/>
            <w:right w:val="none" w:sz="0" w:space="0" w:color="auto"/>
          </w:divBdr>
        </w:div>
        <w:div w:id="1238176226">
          <w:marLeft w:val="0"/>
          <w:marRight w:val="0"/>
          <w:marTop w:val="0"/>
          <w:marBottom w:val="0"/>
          <w:divBdr>
            <w:top w:val="none" w:sz="0" w:space="0" w:color="auto"/>
            <w:left w:val="none" w:sz="0" w:space="0" w:color="auto"/>
            <w:bottom w:val="none" w:sz="0" w:space="0" w:color="auto"/>
            <w:right w:val="none" w:sz="0" w:space="0" w:color="auto"/>
          </w:divBdr>
        </w:div>
        <w:div w:id="1273902983">
          <w:marLeft w:val="0"/>
          <w:marRight w:val="0"/>
          <w:marTop w:val="0"/>
          <w:marBottom w:val="0"/>
          <w:divBdr>
            <w:top w:val="none" w:sz="0" w:space="0" w:color="auto"/>
            <w:left w:val="none" w:sz="0" w:space="0" w:color="auto"/>
            <w:bottom w:val="none" w:sz="0" w:space="0" w:color="auto"/>
            <w:right w:val="none" w:sz="0" w:space="0" w:color="auto"/>
          </w:divBdr>
        </w:div>
        <w:div w:id="1380517146">
          <w:marLeft w:val="0"/>
          <w:marRight w:val="0"/>
          <w:marTop w:val="0"/>
          <w:marBottom w:val="0"/>
          <w:divBdr>
            <w:top w:val="none" w:sz="0" w:space="0" w:color="auto"/>
            <w:left w:val="none" w:sz="0" w:space="0" w:color="auto"/>
            <w:bottom w:val="none" w:sz="0" w:space="0" w:color="auto"/>
            <w:right w:val="none" w:sz="0" w:space="0" w:color="auto"/>
          </w:divBdr>
        </w:div>
        <w:div w:id="1421633439">
          <w:marLeft w:val="0"/>
          <w:marRight w:val="0"/>
          <w:marTop w:val="0"/>
          <w:marBottom w:val="0"/>
          <w:divBdr>
            <w:top w:val="none" w:sz="0" w:space="0" w:color="auto"/>
            <w:left w:val="none" w:sz="0" w:space="0" w:color="auto"/>
            <w:bottom w:val="none" w:sz="0" w:space="0" w:color="auto"/>
            <w:right w:val="none" w:sz="0" w:space="0" w:color="auto"/>
          </w:divBdr>
        </w:div>
        <w:div w:id="1616986177">
          <w:marLeft w:val="0"/>
          <w:marRight w:val="0"/>
          <w:marTop w:val="0"/>
          <w:marBottom w:val="0"/>
          <w:divBdr>
            <w:top w:val="none" w:sz="0" w:space="0" w:color="auto"/>
            <w:left w:val="none" w:sz="0" w:space="0" w:color="auto"/>
            <w:bottom w:val="none" w:sz="0" w:space="0" w:color="auto"/>
            <w:right w:val="none" w:sz="0" w:space="0" w:color="auto"/>
          </w:divBdr>
        </w:div>
        <w:div w:id="1639652293">
          <w:marLeft w:val="0"/>
          <w:marRight w:val="0"/>
          <w:marTop w:val="0"/>
          <w:marBottom w:val="0"/>
          <w:divBdr>
            <w:top w:val="none" w:sz="0" w:space="0" w:color="auto"/>
            <w:left w:val="none" w:sz="0" w:space="0" w:color="auto"/>
            <w:bottom w:val="none" w:sz="0" w:space="0" w:color="auto"/>
            <w:right w:val="none" w:sz="0" w:space="0" w:color="auto"/>
          </w:divBdr>
        </w:div>
        <w:div w:id="1750074631">
          <w:marLeft w:val="0"/>
          <w:marRight w:val="0"/>
          <w:marTop w:val="0"/>
          <w:marBottom w:val="0"/>
          <w:divBdr>
            <w:top w:val="none" w:sz="0" w:space="0" w:color="auto"/>
            <w:left w:val="none" w:sz="0" w:space="0" w:color="auto"/>
            <w:bottom w:val="none" w:sz="0" w:space="0" w:color="auto"/>
            <w:right w:val="none" w:sz="0" w:space="0" w:color="auto"/>
          </w:divBdr>
        </w:div>
        <w:div w:id="1765567526">
          <w:marLeft w:val="0"/>
          <w:marRight w:val="0"/>
          <w:marTop w:val="0"/>
          <w:marBottom w:val="0"/>
          <w:divBdr>
            <w:top w:val="none" w:sz="0" w:space="0" w:color="auto"/>
            <w:left w:val="none" w:sz="0" w:space="0" w:color="auto"/>
            <w:bottom w:val="none" w:sz="0" w:space="0" w:color="auto"/>
            <w:right w:val="none" w:sz="0" w:space="0" w:color="auto"/>
          </w:divBdr>
        </w:div>
        <w:div w:id="1792673196">
          <w:marLeft w:val="0"/>
          <w:marRight w:val="0"/>
          <w:marTop w:val="0"/>
          <w:marBottom w:val="0"/>
          <w:divBdr>
            <w:top w:val="none" w:sz="0" w:space="0" w:color="auto"/>
            <w:left w:val="none" w:sz="0" w:space="0" w:color="auto"/>
            <w:bottom w:val="none" w:sz="0" w:space="0" w:color="auto"/>
            <w:right w:val="none" w:sz="0" w:space="0" w:color="auto"/>
          </w:divBdr>
        </w:div>
        <w:div w:id="1823502801">
          <w:marLeft w:val="0"/>
          <w:marRight w:val="0"/>
          <w:marTop w:val="0"/>
          <w:marBottom w:val="0"/>
          <w:divBdr>
            <w:top w:val="none" w:sz="0" w:space="0" w:color="auto"/>
            <w:left w:val="none" w:sz="0" w:space="0" w:color="auto"/>
            <w:bottom w:val="none" w:sz="0" w:space="0" w:color="auto"/>
            <w:right w:val="none" w:sz="0" w:space="0" w:color="auto"/>
          </w:divBdr>
        </w:div>
        <w:div w:id="1914512284">
          <w:marLeft w:val="0"/>
          <w:marRight w:val="0"/>
          <w:marTop w:val="0"/>
          <w:marBottom w:val="0"/>
          <w:divBdr>
            <w:top w:val="none" w:sz="0" w:space="0" w:color="auto"/>
            <w:left w:val="none" w:sz="0" w:space="0" w:color="auto"/>
            <w:bottom w:val="none" w:sz="0" w:space="0" w:color="auto"/>
            <w:right w:val="none" w:sz="0" w:space="0" w:color="auto"/>
          </w:divBdr>
        </w:div>
        <w:div w:id="2102598136">
          <w:marLeft w:val="0"/>
          <w:marRight w:val="0"/>
          <w:marTop w:val="0"/>
          <w:marBottom w:val="0"/>
          <w:divBdr>
            <w:top w:val="none" w:sz="0" w:space="0" w:color="auto"/>
            <w:left w:val="none" w:sz="0" w:space="0" w:color="auto"/>
            <w:bottom w:val="none" w:sz="0" w:space="0" w:color="auto"/>
            <w:right w:val="none" w:sz="0" w:space="0" w:color="auto"/>
          </w:divBdr>
        </w:div>
      </w:divsChild>
    </w:div>
    <w:div w:id="611939652">
      <w:bodyDiv w:val="1"/>
      <w:marLeft w:val="0"/>
      <w:marRight w:val="0"/>
      <w:marTop w:val="0"/>
      <w:marBottom w:val="0"/>
      <w:divBdr>
        <w:top w:val="none" w:sz="0" w:space="0" w:color="auto"/>
        <w:left w:val="none" w:sz="0" w:space="0" w:color="auto"/>
        <w:bottom w:val="none" w:sz="0" w:space="0" w:color="auto"/>
        <w:right w:val="none" w:sz="0" w:space="0" w:color="auto"/>
      </w:divBdr>
    </w:div>
    <w:div w:id="1119958695">
      <w:bodyDiv w:val="1"/>
      <w:marLeft w:val="0"/>
      <w:marRight w:val="0"/>
      <w:marTop w:val="0"/>
      <w:marBottom w:val="0"/>
      <w:divBdr>
        <w:top w:val="none" w:sz="0" w:space="0" w:color="auto"/>
        <w:left w:val="none" w:sz="0" w:space="0" w:color="auto"/>
        <w:bottom w:val="none" w:sz="0" w:space="0" w:color="auto"/>
        <w:right w:val="none" w:sz="0" w:space="0" w:color="auto"/>
      </w:divBdr>
    </w:div>
    <w:div w:id="1398043163">
      <w:marLeft w:val="0"/>
      <w:marRight w:val="0"/>
      <w:marTop w:val="0"/>
      <w:marBottom w:val="0"/>
      <w:divBdr>
        <w:top w:val="none" w:sz="0" w:space="0" w:color="auto"/>
        <w:left w:val="none" w:sz="0" w:space="0" w:color="auto"/>
        <w:bottom w:val="none" w:sz="0" w:space="0" w:color="auto"/>
        <w:right w:val="none" w:sz="0" w:space="0" w:color="auto"/>
      </w:divBdr>
    </w:div>
    <w:div w:id="1398043164">
      <w:marLeft w:val="0"/>
      <w:marRight w:val="0"/>
      <w:marTop w:val="0"/>
      <w:marBottom w:val="0"/>
      <w:divBdr>
        <w:top w:val="none" w:sz="0" w:space="0" w:color="auto"/>
        <w:left w:val="none" w:sz="0" w:space="0" w:color="auto"/>
        <w:bottom w:val="none" w:sz="0" w:space="0" w:color="auto"/>
        <w:right w:val="none" w:sz="0" w:space="0" w:color="auto"/>
      </w:divBdr>
    </w:div>
    <w:div w:id="1749421320">
      <w:bodyDiv w:val="1"/>
      <w:marLeft w:val="0"/>
      <w:marRight w:val="0"/>
      <w:marTop w:val="0"/>
      <w:marBottom w:val="0"/>
      <w:divBdr>
        <w:top w:val="none" w:sz="0" w:space="0" w:color="auto"/>
        <w:left w:val="none" w:sz="0" w:space="0" w:color="auto"/>
        <w:bottom w:val="none" w:sz="0" w:space="0" w:color="auto"/>
        <w:right w:val="none" w:sz="0" w:space="0" w:color="auto"/>
      </w:divBdr>
    </w:div>
    <w:div w:id="2109345631">
      <w:bodyDiv w:val="1"/>
      <w:marLeft w:val="0"/>
      <w:marRight w:val="0"/>
      <w:marTop w:val="0"/>
      <w:marBottom w:val="0"/>
      <w:divBdr>
        <w:top w:val="none" w:sz="0" w:space="0" w:color="auto"/>
        <w:left w:val="none" w:sz="0" w:space="0" w:color="auto"/>
        <w:bottom w:val="none" w:sz="0" w:space="0" w:color="auto"/>
        <w:right w:val="none" w:sz="0" w:space="0" w:color="auto"/>
      </w:divBdr>
      <w:divsChild>
        <w:div w:id="226844512">
          <w:marLeft w:val="0"/>
          <w:marRight w:val="0"/>
          <w:marTop w:val="0"/>
          <w:marBottom w:val="0"/>
          <w:divBdr>
            <w:top w:val="none" w:sz="0" w:space="0" w:color="auto"/>
            <w:left w:val="none" w:sz="0" w:space="0" w:color="auto"/>
            <w:bottom w:val="none" w:sz="0" w:space="0" w:color="auto"/>
            <w:right w:val="none" w:sz="0" w:space="0" w:color="auto"/>
          </w:divBdr>
        </w:div>
        <w:div w:id="336810722">
          <w:marLeft w:val="0"/>
          <w:marRight w:val="0"/>
          <w:marTop w:val="0"/>
          <w:marBottom w:val="0"/>
          <w:divBdr>
            <w:top w:val="none" w:sz="0" w:space="0" w:color="auto"/>
            <w:left w:val="none" w:sz="0" w:space="0" w:color="auto"/>
            <w:bottom w:val="none" w:sz="0" w:space="0" w:color="auto"/>
            <w:right w:val="none" w:sz="0" w:space="0" w:color="auto"/>
          </w:divBdr>
        </w:div>
        <w:div w:id="357313816">
          <w:marLeft w:val="0"/>
          <w:marRight w:val="0"/>
          <w:marTop w:val="0"/>
          <w:marBottom w:val="0"/>
          <w:divBdr>
            <w:top w:val="none" w:sz="0" w:space="0" w:color="auto"/>
            <w:left w:val="none" w:sz="0" w:space="0" w:color="auto"/>
            <w:bottom w:val="none" w:sz="0" w:space="0" w:color="auto"/>
            <w:right w:val="none" w:sz="0" w:space="0" w:color="auto"/>
          </w:divBdr>
        </w:div>
        <w:div w:id="636766689">
          <w:marLeft w:val="0"/>
          <w:marRight w:val="0"/>
          <w:marTop w:val="0"/>
          <w:marBottom w:val="0"/>
          <w:divBdr>
            <w:top w:val="none" w:sz="0" w:space="0" w:color="auto"/>
            <w:left w:val="none" w:sz="0" w:space="0" w:color="auto"/>
            <w:bottom w:val="none" w:sz="0" w:space="0" w:color="auto"/>
            <w:right w:val="none" w:sz="0" w:space="0" w:color="auto"/>
          </w:divBdr>
        </w:div>
        <w:div w:id="652762123">
          <w:marLeft w:val="0"/>
          <w:marRight w:val="0"/>
          <w:marTop w:val="0"/>
          <w:marBottom w:val="0"/>
          <w:divBdr>
            <w:top w:val="none" w:sz="0" w:space="0" w:color="auto"/>
            <w:left w:val="none" w:sz="0" w:space="0" w:color="auto"/>
            <w:bottom w:val="none" w:sz="0" w:space="0" w:color="auto"/>
            <w:right w:val="none" w:sz="0" w:space="0" w:color="auto"/>
          </w:divBdr>
        </w:div>
        <w:div w:id="766998714">
          <w:marLeft w:val="0"/>
          <w:marRight w:val="0"/>
          <w:marTop w:val="0"/>
          <w:marBottom w:val="0"/>
          <w:divBdr>
            <w:top w:val="none" w:sz="0" w:space="0" w:color="auto"/>
            <w:left w:val="none" w:sz="0" w:space="0" w:color="auto"/>
            <w:bottom w:val="none" w:sz="0" w:space="0" w:color="auto"/>
            <w:right w:val="none" w:sz="0" w:space="0" w:color="auto"/>
          </w:divBdr>
        </w:div>
        <w:div w:id="1134176420">
          <w:marLeft w:val="0"/>
          <w:marRight w:val="0"/>
          <w:marTop w:val="0"/>
          <w:marBottom w:val="0"/>
          <w:divBdr>
            <w:top w:val="none" w:sz="0" w:space="0" w:color="auto"/>
            <w:left w:val="none" w:sz="0" w:space="0" w:color="auto"/>
            <w:bottom w:val="none" w:sz="0" w:space="0" w:color="auto"/>
            <w:right w:val="none" w:sz="0" w:space="0" w:color="auto"/>
          </w:divBdr>
        </w:div>
        <w:div w:id="1210411858">
          <w:marLeft w:val="0"/>
          <w:marRight w:val="0"/>
          <w:marTop w:val="0"/>
          <w:marBottom w:val="0"/>
          <w:divBdr>
            <w:top w:val="none" w:sz="0" w:space="0" w:color="auto"/>
            <w:left w:val="none" w:sz="0" w:space="0" w:color="auto"/>
            <w:bottom w:val="none" w:sz="0" w:space="0" w:color="auto"/>
            <w:right w:val="none" w:sz="0" w:space="0" w:color="auto"/>
          </w:divBdr>
        </w:div>
        <w:div w:id="1797140424">
          <w:marLeft w:val="0"/>
          <w:marRight w:val="0"/>
          <w:marTop w:val="0"/>
          <w:marBottom w:val="0"/>
          <w:divBdr>
            <w:top w:val="none" w:sz="0" w:space="0" w:color="auto"/>
            <w:left w:val="none" w:sz="0" w:space="0" w:color="auto"/>
            <w:bottom w:val="none" w:sz="0" w:space="0" w:color="auto"/>
            <w:right w:val="none" w:sz="0" w:space="0" w:color="auto"/>
          </w:divBdr>
        </w:div>
        <w:div w:id="1800680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9B34-E835-4A4E-87D2-ADBC213C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15624</Characters>
  <Application>Microsoft Office Word</Application>
  <DocSecurity>0</DocSecurity>
  <Lines>130</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2022-09-29T14:20:00Z</dcterms:created>
  <dcterms:modified xsi:type="dcterms:W3CDTF">2022-09-29T14:20:00Z</dcterms:modified>
</cp:coreProperties>
</file>